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Tabellenraster"/>
        <w:tblW w:w="9924" w:type="dxa"/>
        <w:jc w:val="left"/>
        <w:tblInd w:w="0" w:type="dxa"/>
        <w:tblLayout w:type="fixed"/>
        <w:tblCellMar>
          <w:top w:w="0" w:type="dxa"/>
          <w:left w:w="108" w:type="dxa"/>
          <w:bottom w:w="0" w:type="dxa"/>
          <w:right w:w="108" w:type="dxa"/>
        </w:tblCellMar>
        <w:tblLook w:val="04a0" w:noVBand="1" w:noHBand="0" w:firstRow="1" w:lastRow="0" w:firstColumn="1" w:lastColumn="0"/>
      </w:tblPr>
      <w:tblGrid>
        <w:gridCol w:w="9924"/>
      </w:tblGrid>
      <w:tr>
        <w:trPr>
          <w:trHeight w:val="1020" w:hRule="atLeast"/>
        </w:trPr>
        <w:tc>
          <w:tcPr>
            <w:tcW w:w="9924" w:type="dxa"/>
            <w:tcBorders>
              <w:top w:val="nil"/>
              <w:left w:val="nil"/>
              <w:bottom w:val="nil"/>
              <w:right w:val="nil"/>
            </w:tcBorders>
            <w:vAlign w:val="center"/>
          </w:tcPr>
          <w:p>
            <w:pPr>
              <w:pStyle w:val="Header"/>
              <w:widowControl w:val="false"/>
              <w:tabs>
                <w:tab w:val="clear" w:pos="4536"/>
                <w:tab w:val="right" w:pos="9072" w:leader="none"/>
              </w:tabs>
              <w:suppressAutoHyphens w:val="true"/>
              <w:spacing w:before="0" w:after="120"/>
              <w:jc w:val="center"/>
              <w:rPr>
                <w:b/>
                <w:b/>
                <w:bCs/>
                <w:sz w:val="28"/>
                <w:szCs w:val="22"/>
              </w:rPr>
            </w:pPr>
            <w:r>
              <w:drawing>
                <wp:anchor behindDoc="0" distT="0" distB="0" distL="114300" distR="114300" simplePos="0" locked="0" layoutInCell="1" allowOverlap="1" relativeHeight="2">
                  <wp:simplePos x="0" y="0"/>
                  <wp:positionH relativeFrom="margin">
                    <wp:posOffset>5305425</wp:posOffset>
                  </wp:positionH>
                  <wp:positionV relativeFrom="margin">
                    <wp:posOffset>-16510</wp:posOffset>
                  </wp:positionV>
                  <wp:extent cx="1009650" cy="1009650"/>
                  <wp:effectExtent l="0" t="0" r="0" b="0"/>
                  <wp:wrapSquare wrapText="bothSides"/>
                  <wp:docPr id="1" name="Grafik 1" descr="Ein Bild, das Text, Schrift, Logo,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Schrift, Logo, Grafiken enthält.&#10;&#10;KI-generierte Inhalte können fehlerhaft sein."/>
                          <pic:cNvPicPr>
                            <a:picLocks noChangeAspect="1" noChangeArrowheads="1"/>
                          </pic:cNvPicPr>
                        </pic:nvPicPr>
                        <pic:blipFill>
                          <a:blip r:embed="rId2"/>
                          <a:stretch>
                            <a:fillRect/>
                          </a:stretch>
                        </pic:blipFill>
                        <pic:spPr bwMode="auto">
                          <a:xfrm>
                            <a:off x="0" y="0"/>
                            <a:ext cx="1009650" cy="1009650"/>
                          </a:xfrm>
                          <a:prstGeom prst="rect">
                            <a:avLst/>
                          </a:prstGeom>
                        </pic:spPr>
                      </pic:pic>
                    </a:graphicData>
                  </a:graphic>
                </wp:anchor>
              </w:drawing>
            </w:r>
            <w:r>
              <w:rPr>
                <w:rFonts w:eastAsia="Times New Roman" w:cs="Times New Roman"/>
                <w:b/>
                <w:bCs/>
                <w:kern w:val="0"/>
                <w:sz w:val="28"/>
                <w:szCs w:val="22"/>
                <w:lang w:bidi="ar-SA"/>
              </w:rPr>
              <w:t>Mittelschule St. Georgen/Stfg.</w:t>
            </w:r>
          </w:p>
          <w:p>
            <w:pPr>
              <w:pStyle w:val="Header"/>
              <w:widowControl w:val="false"/>
              <w:tabs>
                <w:tab w:val="clear" w:pos="4536"/>
                <w:tab w:val="right" w:pos="9072" w:leader="none"/>
              </w:tabs>
              <w:suppressAutoHyphens w:val="true"/>
              <w:spacing w:before="0" w:after="0"/>
              <w:jc w:val="center"/>
              <w:rPr>
                <w:sz w:val="22"/>
                <w:szCs w:val="22"/>
              </w:rPr>
            </w:pPr>
            <w:r>
              <w:rPr>
                <w:rFonts w:eastAsia="Times New Roman" w:cs="Times New Roman"/>
                <w:kern w:val="0"/>
                <w:sz w:val="22"/>
                <w:szCs w:val="22"/>
                <w:lang w:bidi="ar-SA"/>
              </w:rPr>
              <w:t>8413 St. Georgen/Stfg. 115</w:t>
            </w:r>
          </w:p>
          <w:p>
            <w:pPr>
              <w:pStyle w:val="Header"/>
              <w:widowControl w:val="false"/>
              <w:tabs>
                <w:tab w:val="clear" w:pos="4536"/>
                <w:tab w:val="right" w:pos="9072" w:leader="none"/>
              </w:tabs>
              <w:suppressAutoHyphens w:val="true"/>
              <w:spacing w:before="0" w:after="0"/>
              <w:jc w:val="center"/>
              <w:rPr>
                <w:sz w:val="22"/>
                <w:szCs w:val="22"/>
              </w:rPr>
            </w:pPr>
            <w:r>
              <w:rPr>
                <w:rFonts w:eastAsia="Times New Roman" w:cs="Times New Roman"/>
                <w:kern w:val="0"/>
                <w:sz w:val="22"/>
                <w:szCs w:val="22"/>
                <w:lang w:bidi="ar-SA"/>
              </w:rPr>
              <w:t>Tel.: 03183 7630</w:t>
            </w:r>
          </w:p>
        </w:tc>
      </w:tr>
    </w:tbl>
    <w:p>
      <w:pPr>
        <w:pStyle w:val="Normal"/>
        <w:rPr>
          <w:sz w:val="22"/>
          <w:szCs w:val="22"/>
        </w:rPr>
      </w:pPr>
      <w:r>
        <w:rPr>
          <w:sz w:val="22"/>
          <w:szCs w:val="22"/>
        </w:rPr>
      </w:r>
    </w:p>
    <w:p>
      <w:pPr>
        <w:pStyle w:val="Normal"/>
        <w:rPr>
          <w:sz w:val="16"/>
          <w:szCs w:val="24"/>
        </w:rPr>
      </w:pPr>
      <w:r>
        <w:rPr>
          <w:sz w:val="16"/>
          <w:szCs w:val="24"/>
        </w:rPr>
      </w:r>
    </w:p>
    <w:tbl>
      <w:tblPr>
        <w:tblStyle w:val="Tabellenraster"/>
        <w:tblW w:w="9914" w:type="dxa"/>
        <w:jc w:val="left"/>
        <w:tblInd w:w="0" w:type="dxa"/>
        <w:tblLayout w:type="fixed"/>
        <w:tblCellMar>
          <w:top w:w="0" w:type="dxa"/>
          <w:left w:w="108" w:type="dxa"/>
          <w:bottom w:w="0" w:type="dxa"/>
          <w:right w:w="108" w:type="dxa"/>
        </w:tblCellMar>
        <w:tblLook w:val="04a0" w:noVBand="1" w:noHBand="0" w:lastColumn="0" w:firstColumn="1" w:lastRow="0" w:firstRow="1"/>
      </w:tblPr>
      <w:tblGrid>
        <w:gridCol w:w="9914"/>
      </w:tblGrid>
      <w:tr>
        <w:trPr>
          <w:trHeight w:val="454" w:hRule="atLeast"/>
        </w:trPr>
        <w:tc>
          <w:tcPr>
            <w:tcW w:w="9914" w:type="dxa"/>
            <w:tcBorders/>
            <w:shd w:color="auto" w:fill="DAEEF3" w:themeFill="accent5" w:themeFillTint="33" w:val="clear"/>
            <w:vAlign w:val="center"/>
          </w:tcPr>
          <w:p>
            <w:pPr>
              <w:pStyle w:val="Normal"/>
              <w:widowControl w:val="false"/>
              <w:suppressAutoHyphens w:val="true"/>
              <w:spacing w:before="0" w:after="0"/>
              <w:jc w:val="center"/>
              <w:rPr>
                <w:b/>
                <w:b/>
                <w:sz w:val="24"/>
              </w:rPr>
            </w:pPr>
            <w:r>
              <w:rPr>
                <w:rFonts w:eastAsia="Times New Roman" w:cs="Times New Roman"/>
                <w:b/>
                <w:kern w:val="0"/>
                <w:sz w:val="24"/>
                <w:szCs w:val="20"/>
                <w:lang w:bidi="ar-SA"/>
              </w:rPr>
              <w:t>1. Schultag: Montag, 08. September 2025, 7:50 Uhr bis 11:35 Uhr</w:t>
            </w:r>
          </w:p>
        </w:tc>
      </w:tr>
    </w:tbl>
    <w:p>
      <w:pPr>
        <w:pStyle w:val="Normal"/>
        <w:rPr>
          <w:sz w:val="16"/>
          <w:szCs w:val="24"/>
        </w:rPr>
      </w:pPr>
      <w:r>
        <w:rPr>
          <w:sz w:val="16"/>
          <w:szCs w:val="24"/>
        </w:rPr>
      </w:r>
    </w:p>
    <w:p>
      <w:pPr>
        <w:pStyle w:val="Normal"/>
        <w:rPr>
          <w:sz w:val="16"/>
          <w:szCs w:val="24"/>
        </w:rPr>
      </w:pPr>
      <w:r>
        <w:rPr>
          <w:sz w:val="16"/>
          <w:szCs w:val="24"/>
        </w:rPr>
      </w:r>
    </w:p>
    <w:p>
      <w:pPr>
        <w:pStyle w:val="Normal"/>
        <w:rPr>
          <w:sz w:val="16"/>
          <w:szCs w:val="24"/>
        </w:rPr>
      </w:pPr>
      <w:r>
        <w:rPr>
          <w:sz w:val="16"/>
          <w:szCs w:val="24"/>
        </w:rPr>
      </w:r>
    </w:p>
    <w:p>
      <w:pPr>
        <w:pStyle w:val="Normal"/>
        <w:rPr>
          <w:sz w:val="22"/>
        </w:rPr>
      </w:pPr>
      <w:r>
        <w:rPr>
          <w:sz w:val="22"/>
        </w:rPr>
        <w:t>Um Ihnen den Schulbeginn zu erleichtern, möchten wir Ihnen folgende Informationen zukommen lassen:</w:t>
      </w:r>
    </w:p>
    <w:p>
      <w:pPr>
        <w:pStyle w:val="Normal"/>
        <w:rPr>
          <w:sz w:val="16"/>
          <w:szCs w:val="24"/>
        </w:rPr>
      </w:pPr>
      <w:r>
        <w:rPr>
          <w:sz w:val="16"/>
          <w:szCs w:val="24"/>
        </w:rPr>
      </w:r>
    </w:p>
    <w:p>
      <w:pPr>
        <w:pStyle w:val="Normal"/>
        <w:rPr>
          <w:sz w:val="22"/>
        </w:rPr>
      </w:pPr>
      <w:r>
        <w:rPr/>
        <w:t>Je</w:t>
      </w:r>
      <w:r>
        <w:rPr>
          <w:sz w:val="22"/>
        </w:rPr>
        <w:t>der Schüler und jede Schülerin erhält einen Schulplaner. In Zusammenarbeit mit unseren Schülerinnen und Schülern wurde ein eigenes einheitliches Layout für unsere Schulhefte und den Planer gestaltet. Daher werden auch im kommenden Schuljahr alle Hefte zu Schulbeginn von uns bereitgestellt. Der Förderverein übernimmt einen Kostenbeitrag von 25 € für jedes Kind, der Restbetrag von 28 € ist gleich am Schulanfang beim Klassenvorstand zu bezahlen.</w:t>
      </w:r>
    </w:p>
    <w:p>
      <w:pPr>
        <w:pStyle w:val="Normal"/>
        <w:rPr>
          <w:sz w:val="22"/>
        </w:rPr>
      </w:pPr>
      <w:r>
        <w:rPr>
          <w:sz w:val="22"/>
        </w:rPr>
        <w:t>Wir verwenden bewusst Umschläge, um die Hefte zu schonen. Diese sollen dann im folgenden Jahr weiterverwendet werden.</w:t>
      </w:r>
    </w:p>
    <w:p>
      <w:pPr>
        <w:pStyle w:val="Normal"/>
        <w:rPr>
          <w:sz w:val="16"/>
          <w:szCs w:val="24"/>
        </w:rPr>
      </w:pPr>
      <w:r>
        <w:rPr>
          <w:sz w:val="16"/>
          <w:szCs w:val="24"/>
        </w:rPr>
      </w:r>
    </w:p>
    <w:p>
      <w:pPr>
        <w:pStyle w:val="Normal"/>
        <w:rPr>
          <w:sz w:val="22"/>
        </w:rPr>
      </w:pPr>
      <w:r>
        <w:rPr>
          <w:sz w:val="22"/>
        </w:rPr>
        <w:t xml:space="preserve">Falls noch nicht vorhanden, sind folgende </w:t>
      </w:r>
      <w:r>
        <w:rPr>
          <w:sz w:val="22"/>
          <w:u w:val="single"/>
        </w:rPr>
        <w:t>Arbeitsmittel</w:t>
      </w:r>
      <w:r>
        <w:rPr>
          <w:sz w:val="22"/>
        </w:rPr>
        <w:t xml:space="preserve"> zu besorgen:</w:t>
      </w:r>
    </w:p>
    <w:p>
      <w:pPr>
        <w:pStyle w:val="Normal"/>
        <w:rPr>
          <w:sz w:val="16"/>
          <w:szCs w:val="24"/>
        </w:rPr>
      </w:pPr>
      <w:r>
        <w:rPr>
          <w:sz w:val="16"/>
          <w:szCs w:val="24"/>
        </w:rPr>
      </w:r>
    </w:p>
    <w:tbl>
      <w:tblPr>
        <w:tblStyle w:val="Tabellenraster"/>
        <w:tblW w:w="9914" w:type="dxa"/>
        <w:jc w:val="left"/>
        <w:tblInd w:w="0" w:type="dxa"/>
        <w:tblLayout w:type="fixed"/>
        <w:tblCellMar>
          <w:top w:w="0" w:type="dxa"/>
          <w:left w:w="108" w:type="dxa"/>
          <w:bottom w:w="0" w:type="dxa"/>
          <w:right w:w="108" w:type="dxa"/>
        </w:tblCellMar>
        <w:tblLook w:val="04a0" w:noVBand="1" w:noHBand="0" w:lastColumn="0" w:firstColumn="1" w:lastRow="0" w:firstRow="1"/>
      </w:tblPr>
      <w:tblGrid>
        <w:gridCol w:w="2906"/>
        <w:gridCol w:w="7007"/>
      </w:tblGrid>
      <w:tr>
        <w:trPr>
          <w:trHeight w:val="680" w:hRule="atLeast"/>
        </w:trPr>
        <w:tc>
          <w:tcPr>
            <w:tcW w:w="9913" w:type="dxa"/>
            <w:gridSpan w:val="2"/>
            <w:tcBorders/>
            <w:vAlign w:val="center"/>
          </w:tcPr>
          <w:p>
            <w:pPr>
              <w:pStyle w:val="Normal"/>
              <w:widowControl w:val="false"/>
              <w:suppressAutoHyphens w:val="true"/>
              <w:spacing w:before="0" w:after="0"/>
              <w:jc w:val="left"/>
              <w:rPr>
                <w:sz w:val="22"/>
              </w:rPr>
            </w:pPr>
            <w:r>
              <w:rPr>
                <w:rFonts w:eastAsia="Times New Roman" w:cs="Times New Roman"/>
                <w:kern w:val="0"/>
                <w:sz w:val="22"/>
                <w:szCs w:val="20"/>
                <w:lang w:bidi="ar-SA"/>
              </w:rPr>
              <w:t>Füllfeder, Tintenkiller, Bleistifte, Farbstifte, Radiergummi, Spitzer, UHU-Stick, Schere, Zirkel, Lineal,</w:t>
            </w:r>
          </w:p>
          <w:p>
            <w:pPr>
              <w:pStyle w:val="Normal"/>
              <w:widowControl w:val="false"/>
              <w:suppressAutoHyphens w:val="true"/>
              <w:spacing w:before="0" w:after="0"/>
              <w:jc w:val="left"/>
              <w:rPr>
                <w:sz w:val="22"/>
              </w:rPr>
            </w:pPr>
            <w:r>
              <w:rPr>
                <w:rFonts w:eastAsia="Times New Roman" w:cs="Times New Roman"/>
                <w:kern w:val="0"/>
                <w:sz w:val="22"/>
                <w:szCs w:val="20"/>
                <w:lang w:bidi="ar-SA"/>
              </w:rPr>
              <w:t xml:space="preserve">1 kleines und 1 großes Geodreieck, 1 Collegeblock (linierte Blätter), </w:t>
            </w:r>
            <w:r>
              <w:rPr>
                <w:rFonts w:eastAsia="Times New Roman" w:cs="Times New Roman"/>
                <w:kern w:val="0"/>
                <w:sz w:val="22"/>
                <w:szCs w:val="20"/>
                <w:u w:val="none"/>
                <w:lang w:bidi="ar-SA"/>
              </w:rPr>
              <w:t>Kopfhörer</w:t>
            </w:r>
            <w:r>
              <w:rPr>
                <w:rFonts w:eastAsia="Times New Roman" w:cs="Times New Roman"/>
                <w:kern w:val="0"/>
                <w:sz w:val="22"/>
                <w:szCs w:val="20"/>
                <w:u w:val="single"/>
                <w:lang w:bidi="ar-SA"/>
              </w:rPr>
              <w:t xml:space="preserve"> </w:t>
            </w:r>
            <w:r>
              <w:rPr>
                <w:rFonts w:eastAsia="Times New Roman" w:cs="Times New Roman"/>
                <w:kern w:val="0"/>
                <w:sz w:val="22"/>
                <w:szCs w:val="20"/>
                <w:lang w:bidi="ar-SA"/>
              </w:rPr>
              <w:t xml:space="preserve">(klein und kostengünstig, wenn möglich mit Kabel – sollen immer griffbereit sein), Computermaus (wenn möglich mit Kabel), Laptop-Tasche, </w:t>
            </w:r>
            <w:r>
              <w:rPr>
                <w:rFonts w:eastAsia="Times New Roman" w:cs="Times New Roman"/>
                <w:kern w:val="0"/>
                <w:sz w:val="22"/>
                <w:szCs w:val="20"/>
                <w:u w:val="single"/>
                <w:lang w:bidi="ar-SA"/>
              </w:rPr>
              <w:t>Hausschuhe</w:t>
            </w:r>
          </w:p>
        </w:tc>
      </w:tr>
      <w:tr>
        <w:trPr>
          <w:trHeight w:val="397" w:hRule="atLeast"/>
        </w:trPr>
        <w:tc>
          <w:tcPr>
            <w:tcW w:w="2906" w:type="dxa"/>
            <w:tcBorders/>
            <w:vAlign w:val="center"/>
          </w:tcPr>
          <w:p>
            <w:pPr>
              <w:pStyle w:val="Normal"/>
              <w:widowControl w:val="false"/>
              <w:suppressAutoHyphens w:val="true"/>
              <w:spacing w:before="0" w:after="0"/>
              <w:jc w:val="left"/>
              <w:rPr>
                <w:i/>
                <w:i/>
                <w:sz w:val="22"/>
              </w:rPr>
            </w:pPr>
            <w:r>
              <w:rPr>
                <w:rFonts w:eastAsia="Times New Roman" w:cs="Times New Roman"/>
                <w:i/>
                <w:kern w:val="0"/>
                <w:sz w:val="22"/>
                <w:szCs w:val="20"/>
                <w:lang w:bidi="ar-SA"/>
              </w:rPr>
              <w:t>Soziales Lernen:</w:t>
            </w:r>
          </w:p>
        </w:tc>
        <w:tc>
          <w:tcPr>
            <w:tcW w:w="7007" w:type="dxa"/>
            <w:tcBorders/>
            <w:vAlign w:val="center"/>
          </w:tcPr>
          <w:p>
            <w:pPr>
              <w:pStyle w:val="Normal"/>
              <w:widowControl w:val="false"/>
              <w:suppressAutoHyphens w:val="true"/>
              <w:spacing w:before="0" w:after="0"/>
              <w:jc w:val="left"/>
              <w:rPr>
                <w:sz w:val="22"/>
              </w:rPr>
            </w:pPr>
            <w:r>
              <w:rPr>
                <w:rFonts w:eastAsia="Times New Roman" w:cs="Times New Roman"/>
                <w:kern w:val="0"/>
                <w:sz w:val="22"/>
                <w:szCs w:val="20"/>
                <w:lang w:bidi="ar-SA"/>
              </w:rPr>
              <w:t>1 Ordner, 5 cm breit</w:t>
            </w:r>
          </w:p>
        </w:tc>
      </w:tr>
      <w:tr>
        <w:trPr>
          <w:trHeight w:val="397" w:hRule="atLeast"/>
        </w:trPr>
        <w:tc>
          <w:tcPr>
            <w:tcW w:w="2906" w:type="dxa"/>
            <w:tcBorders/>
            <w:vAlign w:val="center"/>
          </w:tcPr>
          <w:p>
            <w:pPr>
              <w:pStyle w:val="Normal"/>
              <w:widowControl w:val="false"/>
              <w:suppressAutoHyphens w:val="true"/>
              <w:spacing w:before="0" w:after="0"/>
              <w:jc w:val="left"/>
              <w:rPr>
                <w:i/>
                <w:i/>
                <w:sz w:val="22"/>
              </w:rPr>
            </w:pPr>
            <w:r>
              <w:rPr>
                <w:rFonts w:eastAsia="Times New Roman" w:cs="Times New Roman"/>
                <w:i/>
                <w:kern w:val="0"/>
                <w:sz w:val="22"/>
                <w:szCs w:val="20"/>
                <w:lang w:bidi="ar-SA"/>
              </w:rPr>
              <w:t>Deutsch:</w:t>
            </w:r>
          </w:p>
        </w:tc>
        <w:tc>
          <w:tcPr>
            <w:tcW w:w="7007" w:type="dxa"/>
            <w:tcBorders/>
            <w:vAlign w:val="center"/>
          </w:tcPr>
          <w:p>
            <w:pPr>
              <w:pStyle w:val="Normal"/>
              <w:widowControl w:val="false"/>
              <w:suppressAutoHyphens w:val="true"/>
              <w:spacing w:before="0" w:after="0"/>
              <w:jc w:val="left"/>
              <w:rPr>
                <w:sz w:val="22"/>
              </w:rPr>
            </w:pPr>
            <w:r>
              <w:rPr>
                <w:rFonts w:eastAsia="Times New Roman" w:cs="Times New Roman"/>
                <w:kern w:val="0"/>
                <w:sz w:val="22"/>
                <w:szCs w:val="20"/>
                <w:lang w:bidi="ar-SA"/>
              </w:rPr>
              <w:t>3 Umschläge (A4): 1 orange, 1 violett, 1 grün</w:t>
            </w:r>
          </w:p>
        </w:tc>
      </w:tr>
      <w:tr>
        <w:trPr>
          <w:trHeight w:val="397" w:hRule="atLeast"/>
        </w:trPr>
        <w:tc>
          <w:tcPr>
            <w:tcW w:w="2906" w:type="dxa"/>
            <w:tcBorders/>
            <w:vAlign w:val="center"/>
          </w:tcPr>
          <w:p>
            <w:pPr>
              <w:pStyle w:val="Normal"/>
              <w:widowControl w:val="false"/>
              <w:suppressAutoHyphens w:val="true"/>
              <w:spacing w:before="0" w:after="0"/>
              <w:jc w:val="left"/>
              <w:rPr>
                <w:i/>
                <w:i/>
                <w:sz w:val="22"/>
              </w:rPr>
            </w:pPr>
            <w:r>
              <w:rPr>
                <w:rFonts w:eastAsia="Times New Roman" w:cs="Times New Roman"/>
                <w:i/>
                <w:kern w:val="0"/>
                <w:sz w:val="22"/>
                <w:szCs w:val="20"/>
                <w:lang w:bidi="ar-SA"/>
              </w:rPr>
              <w:t>Englisch:</w:t>
            </w:r>
          </w:p>
        </w:tc>
        <w:tc>
          <w:tcPr>
            <w:tcW w:w="7007" w:type="dxa"/>
            <w:tcBorders/>
            <w:vAlign w:val="center"/>
          </w:tcPr>
          <w:p>
            <w:pPr>
              <w:pStyle w:val="Normal"/>
              <w:widowControl w:val="false"/>
              <w:suppressAutoHyphens w:val="true"/>
              <w:spacing w:before="0" w:after="0"/>
              <w:jc w:val="left"/>
              <w:rPr>
                <w:sz w:val="22"/>
              </w:rPr>
            </w:pPr>
            <w:r>
              <w:rPr>
                <w:rFonts w:eastAsia="Times New Roman" w:cs="Times New Roman"/>
                <w:kern w:val="0"/>
                <w:sz w:val="22"/>
                <w:szCs w:val="20"/>
                <w:lang w:bidi="ar-SA"/>
              </w:rPr>
              <w:t>1 (schmale) Ringmappe (A4), 1 Schnellhefter, linierte Einlegeblätter,</w:t>
            </w:r>
          </w:p>
          <w:p>
            <w:pPr>
              <w:pStyle w:val="Normal"/>
              <w:widowControl w:val="false"/>
              <w:suppressAutoHyphens w:val="true"/>
              <w:spacing w:before="0" w:after="0"/>
              <w:jc w:val="left"/>
              <w:rPr>
                <w:sz w:val="22"/>
              </w:rPr>
            </w:pPr>
            <w:r>
              <w:rPr>
                <w:rFonts w:eastAsia="Times New Roman" w:cs="Times New Roman"/>
                <w:kern w:val="0"/>
                <w:sz w:val="22"/>
                <w:szCs w:val="20"/>
                <w:lang w:bidi="ar-SA"/>
              </w:rPr>
              <w:t>20 Klarsichthüllen, 3 Trennblätter, 2 Umschläge A4 transparent, 1 Umschlag (transparent, Quartformat)</w:t>
            </w:r>
          </w:p>
        </w:tc>
      </w:tr>
      <w:tr>
        <w:trPr>
          <w:trHeight w:val="397" w:hRule="atLeast"/>
        </w:trPr>
        <w:tc>
          <w:tcPr>
            <w:tcW w:w="2906" w:type="dxa"/>
            <w:tcBorders/>
            <w:vAlign w:val="center"/>
          </w:tcPr>
          <w:p>
            <w:pPr>
              <w:pStyle w:val="Normal"/>
              <w:widowControl w:val="false"/>
              <w:suppressAutoHyphens w:val="true"/>
              <w:spacing w:before="0" w:after="0"/>
              <w:jc w:val="left"/>
              <w:rPr>
                <w:i/>
                <w:i/>
                <w:sz w:val="22"/>
              </w:rPr>
            </w:pPr>
            <w:r>
              <w:rPr>
                <w:rFonts w:eastAsia="Times New Roman" w:cs="Times New Roman"/>
                <w:i/>
                <w:kern w:val="0"/>
                <w:sz w:val="22"/>
                <w:szCs w:val="20"/>
                <w:lang w:bidi="ar-SA"/>
              </w:rPr>
              <w:t>Mathematik:</w:t>
            </w:r>
          </w:p>
        </w:tc>
        <w:tc>
          <w:tcPr>
            <w:tcW w:w="7007" w:type="dxa"/>
            <w:tcBorders/>
            <w:vAlign w:val="center"/>
          </w:tcPr>
          <w:p>
            <w:pPr>
              <w:pStyle w:val="Normal"/>
              <w:widowControl w:val="false"/>
              <w:suppressAutoHyphens w:val="true"/>
              <w:spacing w:before="0" w:after="0"/>
              <w:jc w:val="left"/>
              <w:rPr>
                <w:sz w:val="22"/>
              </w:rPr>
            </w:pPr>
            <w:r>
              <w:rPr>
                <w:rFonts w:eastAsia="Times New Roman" w:cs="Times New Roman"/>
                <w:kern w:val="0"/>
                <w:sz w:val="22"/>
                <w:szCs w:val="20"/>
                <w:lang w:bidi="ar-SA"/>
              </w:rPr>
              <w:t>1 roter, 1 blauer, 1 gelber Umschlag (A4)</w:t>
            </w:r>
          </w:p>
        </w:tc>
      </w:tr>
      <w:tr>
        <w:trPr>
          <w:trHeight w:val="397" w:hRule="atLeast"/>
        </w:trPr>
        <w:tc>
          <w:tcPr>
            <w:tcW w:w="2906" w:type="dxa"/>
            <w:tcBorders/>
            <w:vAlign w:val="center"/>
          </w:tcPr>
          <w:p>
            <w:pPr>
              <w:pStyle w:val="Normal"/>
              <w:widowControl w:val="false"/>
              <w:suppressAutoHyphens w:val="true"/>
              <w:spacing w:before="0" w:after="0"/>
              <w:jc w:val="left"/>
              <w:rPr>
                <w:i/>
                <w:i/>
                <w:sz w:val="22"/>
              </w:rPr>
            </w:pPr>
            <w:r>
              <w:rPr>
                <w:rFonts w:eastAsia="Times New Roman" w:cs="Times New Roman"/>
                <w:i/>
                <w:kern w:val="0"/>
                <w:sz w:val="22"/>
                <w:szCs w:val="20"/>
                <w:lang w:bidi="ar-SA"/>
              </w:rPr>
              <w:t>Geografie:</w:t>
            </w:r>
          </w:p>
        </w:tc>
        <w:tc>
          <w:tcPr>
            <w:tcW w:w="7007" w:type="dxa"/>
            <w:tcBorders/>
            <w:vAlign w:val="center"/>
          </w:tcPr>
          <w:p>
            <w:pPr>
              <w:pStyle w:val="Normal"/>
              <w:widowControl w:val="false"/>
              <w:suppressAutoHyphens w:val="true"/>
              <w:spacing w:before="0" w:after="0"/>
              <w:jc w:val="left"/>
              <w:rPr>
                <w:sz w:val="22"/>
              </w:rPr>
            </w:pPr>
            <w:r>
              <w:rPr>
                <w:rFonts w:eastAsia="Times New Roman" w:cs="Times New Roman"/>
                <w:kern w:val="0"/>
                <w:sz w:val="22"/>
                <w:szCs w:val="20"/>
                <w:lang w:bidi="ar-SA"/>
              </w:rPr>
              <w:t>1 Umschlag, Farbe frei wählbar (A4)</w:t>
            </w:r>
          </w:p>
        </w:tc>
      </w:tr>
      <w:tr>
        <w:trPr>
          <w:trHeight w:val="397" w:hRule="atLeast"/>
        </w:trPr>
        <w:tc>
          <w:tcPr>
            <w:tcW w:w="2906" w:type="dxa"/>
            <w:tcBorders/>
            <w:vAlign w:val="center"/>
          </w:tcPr>
          <w:p>
            <w:pPr>
              <w:pStyle w:val="Normal"/>
              <w:widowControl w:val="false"/>
              <w:suppressAutoHyphens w:val="true"/>
              <w:spacing w:before="0" w:after="0"/>
              <w:jc w:val="left"/>
              <w:rPr>
                <w:i/>
                <w:i/>
                <w:sz w:val="22"/>
              </w:rPr>
            </w:pPr>
            <w:r>
              <w:rPr>
                <w:rFonts w:eastAsia="Times New Roman" w:cs="Times New Roman"/>
                <w:i/>
                <w:kern w:val="0"/>
                <w:sz w:val="22"/>
                <w:szCs w:val="20"/>
                <w:lang w:bidi="ar-SA"/>
              </w:rPr>
              <w:t>Biologie:</w:t>
            </w:r>
          </w:p>
        </w:tc>
        <w:tc>
          <w:tcPr>
            <w:tcW w:w="7007" w:type="dxa"/>
            <w:tcBorders/>
            <w:vAlign w:val="center"/>
          </w:tcPr>
          <w:p>
            <w:pPr>
              <w:pStyle w:val="Normal"/>
              <w:widowControl w:val="false"/>
              <w:suppressAutoHyphens w:val="true"/>
              <w:spacing w:before="0" w:after="0"/>
              <w:jc w:val="left"/>
              <w:rPr>
                <w:sz w:val="22"/>
              </w:rPr>
            </w:pPr>
            <w:r>
              <w:rPr>
                <w:rFonts w:eastAsia="Times New Roman" w:cs="Times New Roman"/>
                <w:kern w:val="0"/>
                <w:sz w:val="22"/>
                <w:szCs w:val="20"/>
                <w:lang w:bidi="ar-SA"/>
              </w:rPr>
              <w:t>1 Umschlag (A4)</w:t>
            </w:r>
          </w:p>
        </w:tc>
      </w:tr>
      <w:tr>
        <w:trPr>
          <w:trHeight w:val="397" w:hRule="atLeast"/>
        </w:trPr>
        <w:tc>
          <w:tcPr>
            <w:tcW w:w="2906" w:type="dxa"/>
            <w:tcBorders/>
            <w:vAlign w:val="center"/>
          </w:tcPr>
          <w:p>
            <w:pPr>
              <w:pStyle w:val="Normal"/>
              <w:widowControl w:val="false"/>
              <w:suppressAutoHyphens w:val="true"/>
              <w:spacing w:before="0" w:after="0"/>
              <w:jc w:val="left"/>
              <w:rPr>
                <w:i/>
                <w:i/>
                <w:sz w:val="22"/>
              </w:rPr>
            </w:pPr>
            <w:r>
              <w:rPr>
                <w:rFonts w:eastAsia="Times New Roman" w:cs="Times New Roman"/>
                <w:i/>
                <w:kern w:val="0"/>
                <w:sz w:val="22"/>
                <w:szCs w:val="20"/>
                <w:lang w:bidi="ar-SA"/>
              </w:rPr>
              <w:t>Digitale Grundbildung:</w:t>
            </w:r>
          </w:p>
        </w:tc>
        <w:tc>
          <w:tcPr>
            <w:tcW w:w="7007" w:type="dxa"/>
            <w:tcBorders/>
            <w:vAlign w:val="center"/>
          </w:tcPr>
          <w:p>
            <w:pPr>
              <w:pStyle w:val="Normal"/>
              <w:widowControl w:val="false"/>
              <w:suppressAutoHyphens w:val="true"/>
              <w:spacing w:before="0" w:after="0"/>
              <w:jc w:val="left"/>
              <w:rPr>
                <w:sz w:val="22"/>
              </w:rPr>
            </w:pPr>
            <w:r>
              <w:rPr>
                <w:rFonts w:eastAsia="Times New Roman" w:cs="Times New Roman"/>
                <w:kern w:val="0"/>
                <w:sz w:val="22"/>
                <w:szCs w:val="20"/>
                <w:lang w:bidi="ar-SA"/>
              </w:rPr>
              <w:t>1 Schnellhefter</w:t>
            </w:r>
          </w:p>
        </w:tc>
      </w:tr>
      <w:tr>
        <w:trPr>
          <w:trHeight w:val="397" w:hRule="atLeast"/>
        </w:trPr>
        <w:tc>
          <w:tcPr>
            <w:tcW w:w="2906" w:type="dxa"/>
            <w:tcBorders/>
            <w:vAlign w:val="center"/>
          </w:tcPr>
          <w:p>
            <w:pPr>
              <w:pStyle w:val="Normal"/>
              <w:widowControl w:val="false"/>
              <w:suppressAutoHyphens w:val="true"/>
              <w:spacing w:before="0" w:after="0"/>
              <w:jc w:val="left"/>
              <w:rPr>
                <w:i/>
                <w:i/>
                <w:sz w:val="22"/>
              </w:rPr>
            </w:pPr>
            <w:r>
              <w:rPr>
                <w:rFonts w:eastAsia="Times New Roman" w:cs="Times New Roman"/>
                <w:i/>
                <w:kern w:val="0"/>
                <w:sz w:val="22"/>
                <w:szCs w:val="20"/>
                <w:lang w:bidi="ar-SA"/>
              </w:rPr>
              <w:t>Musik:</w:t>
            </w:r>
          </w:p>
        </w:tc>
        <w:tc>
          <w:tcPr>
            <w:tcW w:w="7007" w:type="dxa"/>
            <w:tcBorders/>
            <w:vAlign w:val="center"/>
          </w:tcPr>
          <w:p>
            <w:pPr>
              <w:pStyle w:val="Normal"/>
              <w:widowControl w:val="false"/>
              <w:suppressAutoHyphens w:val="true"/>
              <w:spacing w:before="0" w:after="0"/>
              <w:jc w:val="left"/>
              <w:rPr>
                <w:sz w:val="22"/>
              </w:rPr>
            </w:pPr>
            <w:r>
              <w:rPr>
                <w:rFonts w:eastAsia="Times New Roman" w:cs="Times New Roman"/>
                <w:kern w:val="0"/>
                <w:sz w:val="22"/>
                <w:szCs w:val="20"/>
                <w:lang w:bidi="ar-SA"/>
              </w:rPr>
              <w:t>1 Ringmappe mit 4 Ringen, linierte Einlageblätter, 6 Trennblätter</w:t>
            </w:r>
          </w:p>
        </w:tc>
      </w:tr>
      <w:tr>
        <w:trPr>
          <w:trHeight w:val="397" w:hRule="atLeast"/>
        </w:trPr>
        <w:tc>
          <w:tcPr>
            <w:tcW w:w="2906" w:type="dxa"/>
            <w:tcBorders/>
            <w:vAlign w:val="center"/>
          </w:tcPr>
          <w:p>
            <w:pPr>
              <w:pStyle w:val="Normal"/>
              <w:widowControl w:val="false"/>
              <w:suppressAutoHyphens w:val="true"/>
              <w:spacing w:before="0" w:after="0"/>
              <w:jc w:val="left"/>
              <w:rPr>
                <w:i/>
                <w:i/>
                <w:sz w:val="22"/>
              </w:rPr>
            </w:pPr>
            <w:r>
              <w:rPr>
                <w:rFonts w:eastAsia="Times New Roman" w:cs="Times New Roman"/>
                <w:i/>
                <w:kern w:val="0"/>
                <w:sz w:val="22"/>
                <w:szCs w:val="20"/>
                <w:lang w:bidi="ar-SA"/>
              </w:rPr>
              <w:t>Kunst und Gestaltung:</w:t>
            </w:r>
          </w:p>
        </w:tc>
        <w:tc>
          <w:tcPr>
            <w:tcW w:w="7007" w:type="dxa"/>
            <w:tcBorders/>
            <w:vAlign w:val="center"/>
          </w:tcPr>
          <w:p>
            <w:pPr>
              <w:pStyle w:val="Normal"/>
              <w:widowControl w:val="false"/>
              <w:suppressAutoHyphens w:val="true"/>
              <w:spacing w:before="0" w:after="0"/>
              <w:jc w:val="left"/>
              <w:rPr>
                <w:sz w:val="22"/>
              </w:rPr>
            </w:pPr>
            <w:r>
              <w:rPr>
                <w:rFonts w:eastAsia="Times New Roman" w:cs="Times New Roman"/>
                <w:kern w:val="0"/>
                <w:sz w:val="22"/>
                <w:szCs w:val="20"/>
                <w:lang w:bidi="ar-SA"/>
              </w:rPr>
              <w:t>alte Zeichenbox aus der VS (nicht neu bestücken!)</w:t>
            </w:r>
          </w:p>
          <w:p>
            <w:pPr>
              <w:pStyle w:val="Normal"/>
              <w:widowControl w:val="false"/>
              <w:suppressAutoHyphens w:val="true"/>
              <w:spacing w:before="0" w:after="0"/>
              <w:jc w:val="left"/>
              <w:rPr>
                <w:sz w:val="22"/>
              </w:rPr>
            </w:pPr>
            <w:r>
              <w:rPr>
                <w:rFonts w:eastAsia="Times New Roman" w:cs="Times New Roman"/>
                <w:kern w:val="0"/>
                <w:sz w:val="22"/>
                <w:szCs w:val="20"/>
                <w:lang w:bidi="ar-SA"/>
              </w:rPr>
              <w:t>1 - 2 schwarze Plakatschreiber, 1 schwarzer Fineliner, Farbstifte, Filzstifte, 1 Bleistift 6B, Ölkreiden, Wasserfarben</w:t>
            </w:r>
          </w:p>
        </w:tc>
      </w:tr>
      <w:tr>
        <w:trPr>
          <w:trHeight w:val="397" w:hRule="atLeast"/>
        </w:trPr>
        <w:tc>
          <w:tcPr>
            <w:tcW w:w="2906" w:type="dxa"/>
            <w:tcBorders/>
            <w:vAlign w:val="center"/>
          </w:tcPr>
          <w:p>
            <w:pPr>
              <w:pStyle w:val="Normal"/>
              <w:widowControl w:val="false"/>
              <w:suppressAutoHyphens w:val="true"/>
              <w:spacing w:before="0" w:after="0"/>
              <w:jc w:val="left"/>
              <w:rPr>
                <w:i/>
                <w:i/>
                <w:sz w:val="22"/>
              </w:rPr>
            </w:pPr>
            <w:r>
              <w:rPr>
                <w:rFonts w:eastAsia="Times New Roman" w:cs="Times New Roman"/>
                <w:i/>
                <w:kern w:val="0"/>
                <w:sz w:val="22"/>
                <w:szCs w:val="20"/>
                <w:lang w:bidi="ar-SA"/>
              </w:rPr>
              <w:t>Technik und Design:</w:t>
            </w:r>
          </w:p>
        </w:tc>
        <w:tc>
          <w:tcPr>
            <w:tcW w:w="7007" w:type="dxa"/>
            <w:tcBorders/>
            <w:vAlign w:val="center"/>
          </w:tcPr>
          <w:p>
            <w:pPr>
              <w:pStyle w:val="Normal"/>
              <w:widowControl w:val="false"/>
              <w:suppressAutoHyphens w:val="true"/>
              <w:spacing w:before="0" w:after="0"/>
              <w:jc w:val="left"/>
              <w:rPr>
                <w:sz w:val="22"/>
              </w:rPr>
            </w:pPr>
            <w:r>
              <w:rPr>
                <w:rFonts w:eastAsia="Times New Roman" w:cs="Times New Roman"/>
                <w:kern w:val="0"/>
                <w:sz w:val="22"/>
                <w:szCs w:val="20"/>
                <w:lang w:bidi="ar-SA"/>
              </w:rPr>
              <w:t>1 Schnellhefter, 10 Klarsichthüllen,</w:t>
            </w:r>
          </w:p>
          <w:p>
            <w:pPr>
              <w:pStyle w:val="Normal"/>
              <w:widowControl w:val="false"/>
              <w:suppressAutoHyphens w:val="true"/>
              <w:spacing w:before="0" w:after="0"/>
              <w:jc w:val="left"/>
              <w:rPr>
                <w:sz w:val="22"/>
              </w:rPr>
            </w:pPr>
            <w:r>
              <w:rPr>
                <w:rFonts w:eastAsia="Times New Roman" w:cs="Times New Roman"/>
                <w:kern w:val="0"/>
                <w:sz w:val="22"/>
                <w:szCs w:val="20"/>
                <w:lang w:bidi="ar-SA"/>
              </w:rPr>
              <w:t>Nähnadeln, Stopfnadel (stumpf, mit großem Öhr), Stecknadeln, Stoffschere, Werkkoffer aus der VS weiterverwenden</w:t>
            </w:r>
          </w:p>
        </w:tc>
      </w:tr>
      <w:tr>
        <w:trPr>
          <w:trHeight w:val="397" w:hRule="atLeast"/>
        </w:trPr>
        <w:tc>
          <w:tcPr>
            <w:tcW w:w="2906" w:type="dxa"/>
            <w:tcBorders/>
            <w:vAlign w:val="center"/>
          </w:tcPr>
          <w:p>
            <w:pPr>
              <w:pStyle w:val="Normal"/>
              <w:widowControl w:val="false"/>
              <w:suppressAutoHyphens w:val="true"/>
              <w:spacing w:before="0" w:after="0"/>
              <w:jc w:val="left"/>
              <w:rPr>
                <w:i/>
                <w:i/>
                <w:sz w:val="22"/>
              </w:rPr>
            </w:pPr>
            <w:r>
              <w:rPr>
                <w:rFonts w:eastAsia="Times New Roman" w:cs="Times New Roman"/>
                <w:i/>
                <w:kern w:val="0"/>
                <w:sz w:val="22"/>
                <w:szCs w:val="20"/>
                <w:lang w:bidi="ar-SA"/>
              </w:rPr>
              <w:t>Bewegung und Sport:</w:t>
            </w:r>
          </w:p>
        </w:tc>
        <w:tc>
          <w:tcPr>
            <w:tcW w:w="7007" w:type="dxa"/>
            <w:tcBorders/>
            <w:vAlign w:val="center"/>
          </w:tcPr>
          <w:p>
            <w:pPr>
              <w:pStyle w:val="Normal"/>
              <w:widowControl w:val="false"/>
              <w:suppressAutoHyphens w:val="true"/>
              <w:spacing w:before="0" w:after="0"/>
              <w:jc w:val="left"/>
              <w:rPr>
                <w:sz w:val="22"/>
              </w:rPr>
            </w:pPr>
            <w:r>
              <w:rPr>
                <w:rFonts w:eastAsia="Times New Roman" w:cs="Times New Roman"/>
                <w:kern w:val="0"/>
                <w:sz w:val="22"/>
                <w:szCs w:val="20"/>
                <w:lang w:bidi="ar-SA"/>
              </w:rPr>
              <w:t>1 Paar niedere Turnschuhe für die Halle (helle Sohle)</w:t>
            </w:r>
          </w:p>
          <w:p>
            <w:pPr>
              <w:pStyle w:val="Normal"/>
              <w:widowControl w:val="false"/>
              <w:suppressAutoHyphens w:val="true"/>
              <w:spacing w:before="0" w:after="0"/>
              <w:jc w:val="left"/>
              <w:rPr>
                <w:sz w:val="22"/>
              </w:rPr>
            </w:pPr>
            <w:r>
              <w:rPr>
                <w:rFonts w:eastAsia="Times New Roman" w:cs="Times New Roman"/>
                <w:kern w:val="0"/>
                <w:sz w:val="22"/>
                <w:szCs w:val="20"/>
                <w:lang w:bidi="ar-SA"/>
              </w:rPr>
              <w:t>1 Paar niedere Turnschuhe für den Unterricht im Freien</w:t>
            </w:r>
          </w:p>
          <w:p>
            <w:pPr>
              <w:pStyle w:val="Normal"/>
              <w:widowControl w:val="false"/>
              <w:suppressAutoHyphens w:val="true"/>
              <w:spacing w:before="0" w:after="0"/>
              <w:jc w:val="left"/>
              <w:rPr>
                <w:sz w:val="22"/>
              </w:rPr>
            </w:pPr>
            <w:r>
              <w:rPr>
                <w:rFonts w:eastAsia="Times New Roman" w:cs="Times New Roman"/>
                <w:kern w:val="0"/>
                <w:sz w:val="22"/>
                <w:szCs w:val="20"/>
                <w:lang w:bidi="ar-SA"/>
              </w:rPr>
              <w:t>Turnbekleidung, Handtuch, Schwimmsachen (für den Sommer)</w:t>
            </w:r>
          </w:p>
        </w:tc>
      </w:tr>
    </w:tbl>
    <w:p>
      <w:pPr>
        <w:pStyle w:val="Normal"/>
        <w:rPr>
          <w:sz w:val="16"/>
          <w:szCs w:val="24"/>
        </w:rPr>
      </w:pPr>
      <w:r>
        <w:rPr>
          <w:sz w:val="16"/>
          <w:szCs w:val="24"/>
        </w:rPr>
      </w:r>
    </w:p>
    <w:p>
      <w:pPr>
        <w:pStyle w:val="Normal"/>
        <w:spacing w:before="0" w:after="60"/>
        <w:jc w:val="center"/>
        <w:rPr>
          <w:sz w:val="22"/>
          <w:szCs w:val="24"/>
        </w:rPr>
      </w:pPr>
      <w:r>
        <w:rPr>
          <w:sz w:val="22"/>
          <w:szCs w:val="24"/>
        </w:rPr>
      </w:r>
    </w:p>
    <w:p>
      <w:pPr>
        <w:pStyle w:val="Normal"/>
        <w:spacing w:before="0" w:after="60"/>
        <w:jc w:val="center"/>
        <w:rPr>
          <w:sz w:val="22"/>
          <w:szCs w:val="24"/>
        </w:rPr>
      </w:pPr>
      <w:r>
        <w:rPr>
          <w:sz w:val="22"/>
          <w:szCs w:val="24"/>
        </w:rPr>
        <w:t>Mit freundlichen Grüßen</w:t>
      </w:r>
    </w:p>
    <w:p>
      <w:pPr>
        <w:pStyle w:val="Normal"/>
        <w:spacing w:lineRule="auto" w:line="276"/>
        <w:jc w:val="center"/>
        <w:rPr>
          <w:i/>
          <w:i/>
          <w:sz w:val="24"/>
          <w:szCs w:val="24"/>
        </w:rPr>
      </w:pPr>
      <w:r>
        <w:rPr>
          <w:i/>
          <w:sz w:val="24"/>
          <w:szCs w:val="24"/>
        </w:rPr>
        <w:t>das Lehrer*innen-Team der MS St. Georgen</w:t>
      </w:r>
    </w:p>
    <w:p>
      <w:pPr>
        <w:pStyle w:val="Normal"/>
        <w:spacing w:lineRule="auto" w:line="276"/>
        <w:jc w:val="center"/>
        <w:rPr>
          <w:i/>
          <w:i/>
          <w:sz w:val="24"/>
          <w:szCs w:val="24"/>
        </w:rPr>
      </w:pPr>
      <w:r>
        <w:rPr>
          <w:i/>
          <w:sz w:val="24"/>
          <w:szCs w:val="24"/>
        </w:rPr>
      </w:r>
    </w:p>
    <w:p>
      <w:pPr>
        <w:pStyle w:val="Normal"/>
        <w:jc w:val="left"/>
        <w:rPr>
          <w:i/>
          <w:i/>
          <w:sz w:val="24"/>
          <w:szCs w:val="24"/>
        </w:rPr>
      </w:pPr>
      <w:r>
        <w:rPr/>
      </w:r>
    </w:p>
    <w:sectPr>
      <w:type w:val="nextPage"/>
      <w:pgSz w:w="11906" w:h="16838"/>
      <w:pgMar w:left="1134" w:right="848" w:gutter="0" w:header="0" w:top="709" w:footer="0" w:bottom="851"/>
      <w:pgNumType w:fmt="decimal"/>
      <w:formProt w:val="false"/>
      <w:textDirection w:val="lrTb"/>
      <w:docGrid w:type="default" w:linePitch="360" w:charSpace="1638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Carlito">
    <w:altName w:val="Calibri"/>
    <w:charset w:val="01"/>
    <w:family w:val="roman"/>
    <w:pitch w:val="variable"/>
  </w:font>
  <w:font w:name="Times New Roman">
    <w:charset w:val="01"/>
    <w:family w:val="roman"/>
    <w:pitch w:val="variable"/>
  </w:font>
  <w:font w:name="Arial">
    <w:charset w:val="01"/>
    <w:family w:val="roman"/>
    <w:pitch w:val="variable"/>
  </w:font>
  <w:font w:name="Tahoma">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SystemFonts/>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425"/>
  <w:themeFontLang w:val="de-A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de-AT" w:eastAsia="de-AT"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both"/>
    </w:pPr>
    <w:rPr>
      <w:rFonts w:ascii="Arial" w:hAnsi="Arial" w:eastAsia="Times New Roman" w:cs="Times New Roman"/>
      <w:color w:val="auto"/>
      <w:kern w:val="0"/>
      <w:sz w:val="20"/>
      <w:szCs w:val="20"/>
      <w:lang w:val="de-DE" w:eastAsia="ar-SA" w:bidi="ar-SA"/>
    </w:rPr>
  </w:style>
  <w:style w:type="paragraph" w:styleId="Heading1">
    <w:name w:val="Heading 1"/>
    <w:basedOn w:val="Normal"/>
    <w:next w:val="Normal"/>
    <w:qFormat/>
    <w:pPr>
      <w:keepNext w:val="true"/>
      <w:numPr>
        <w:ilvl w:val="0"/>
        <w:numId w:val="1"/>
      </w:numPr>
      <w:outlineLvl w:val="0"/>
    </w:pPr>
    <w:rPr>
      <w:b/>
      <w:sz w:val="28"/>
    </w:rPr>
  </w:style>
  <w:style w:type="paragraph" w:styleId="Heading2">
    <w:name w:val="Heading 2"/>
    <w:basedOn w:val="Normal"/>
    <w:next w:val="Normal"/>
    <w:qFormat/>
    <w:pPr>
      <w:keepNext w:val="true"/>
      <w:numPr>
        <w:ilvl w:val="1"/>
        <w:numId w:val="1"/>
      </w:numPr>
      <w:pBdr>
        <w:left w:val="single" w:sz="4" w:space="1" w:color="000000"/>
        <w:right w:val="single" w:sz="4" w:space="1" w:color="000000"/>
      </w:pBdr>
      <w:tabs>
        <w:tab w:val="clear" w:pos="708"/>
        <w:tab w:val="left" w:pos="2268" w:leader="none"/>
        <w:tab w:val="left" w:pos="7371" w:leader="none"/>
      </w:tabs>
      <w:outlineLvl w:val="1"/>
    </w:pPr>
    <w:rPr>
      <w:sz w:val="24"/>
    </w:rPr>
  </w:style>
  <w:style w:type="paragraph" w:styleId="Heading3">
    <w:name w:val="Heading 3"/>
    <w:basedOn w:val="Normal"/>
    <w:next w:val="Normal"/>
    <w:qFormat/>
    <w:pPr>
      <w:keepNext w:val="true"/>
      <w:numPr>
        <w:ilvl w:val="2"/>
        <w:numId w:val="1"/>
      </w:numPr>
      <w:tabs>
        <w:tab w:val="clear" w:pos="708"/>
        <w:tab w:val="left" w:pos="1701" w:leader="none"/>
      </w:tabs>
      <w:jc w:val="left"/>
      <w:outlineLvl w:val="2"/>
    </w:pPr>
    <w:rPr>
      <w:sz w:val="24"/>
    </w:rPr>
  </w:style>
  <w:style w:type="character" w:styleId="DefaultParagraphFont" w:default="1">
    <w:name w:val="Default Paragraph Font"/>
    <w:uiPriority w:val="1"/>
    <w:unhideWhenUsed/>
    <w:qFormat/>
    <w:rPr/>
  </w:style>
  <w:style w:type="character" w:styleId="AbsatzStandardschriftart2" w:customStyle="1">
    <w:name w:val="Absatz-Standardschriftart2"/>
    <w:qFormat/>
    <w:rPr/>
  </w:style>
  <w:style w:type="character" w:styleId="WWAbsatzStandardschriftart" w:customStyle="1">
    <w:name w:val="WW-Absatz-Standardschriftart"/>
    <w:qFormat/>
    <w:rPr/>
  </w:style>
  <w:style w:type="character" w:styleId="WWAbsatzStandardschriftart1" w:customStyle="1">
    <w:name w:val="WW-Absatz-Standardschriftart1"/>
    <w:qFormat/>
    <w:rPr/>
  </w:style>
  <w:style w:type="character" w:styleId="AbsatzStandardschriftart1" w:customStyle="1">
    <w:name w:val="Absatz-Standardschriftart1"/>
    <w:qFormat/>
    <w:rPr/>
  </w:style>
  <w:style w:type="character" w:styleId="Pagenumber">
    <w:name w:val="page number"/>
    <w:qFormat/>
    <w:rPr>
      <w:rFonts w:ascii="Arial" w:hAnsi="Arial"/>
      <w:position w:val="0"/>
      <w:sz w:val="24"/>
      <w:sz w:val="24"/>
      <w:vertAlign w:val="baseline"/>
    </w:rPr>
  </w:style>
  <w:style w:type="paragraph" w:styleId="Heading" w:customStyle="1">
    <w:name w:val="Heading"/>
    <w:basedOn w:val="Normal"/>
    <w:next w:val="BodyText"/>
    <w:qFormat/>
    <w:pPr>
      <w:keepNext w:val="true"/>
      <w:spacing w:before="240" w:after="120"/>
    </w:pPr>
    <w:rPr>
      <w:rFonts w:ascii="Carlito" w:hAnsi="Carlito" w:eastAsia="Noto Sans SC Regular" w:cs="Noto Sans Devanagari"/>
      <w:sz w:val="28"/>
      <w:szCs w:val="28"/>
    </w:rPr>
  </w:style>
  <w:style w:type="paragraph" w:styleId="BodyText">
    <w:name w:val="Body Text"/>
    <w:basedOn w:val="Normal"/>
    <w:pPr>
      <w:spacing w:before="0" w:after="120"/>
    </w:pPr>
    <w:rPr/>
  </w:style>
  <w:style w:type="paragraph" w:styleId="List">
    <w:name w:val="List"/>
    <w:basedOn w:val="BodyText"/>
    <w:pPr/>
    <w:rPr>
      <w:rFonts w:cs="Tahoma"/>
    </w:rPr>
  </w:style>
  <w:style w:type="paragraph" w:styleId="Caption">
    <w:name w:val="Caption"/>
    <w:basedOn w:val="Normal"/>
    <w:qFormat/>
    <w:pPr>
      <w:suppressLineNumbers/>
      <w:spacing w:before="120" w:after="120"/>
    </w:pPr>
    <w:rPr>
      <w:rFonts w:cs="Noto Sans Devanagari"/>
      <w:i/>
      <w:iCs/>
      <w:sz w:val="24"/>
      <w:szCs w:val="24"/>
    </w:rPr>
  </w:style>
  <w:style w:type="paragraph" w:styleId="Index" w:customStyle="1">
    <w:name w:val="Index"/>
    <w:basedOn w:val="Normal"/>
    <w:qFormat/>
    <w:pPr>
      <w:suppressLineNumbers/>
    </w:pPr>
    <w:rPr>
      <w:rFonts w:cs="Noto Sans Devanagari"/>
    </w:rPr>
  </w:style>
  <w:style w:type="paragraph" w:styleId="Caption1">
    <w:name w:val="caption1"/>
    <w:basedOn w:val="Normal"/>
    <w:qFormat/>
    <w:pPr>
      <w:suppressLineNumbers/>
      <w:spacing w:before="120" w:after="120"/>
    </w:pPr>
    <w:rPr>
      <w:rFonts w:cs="Noto Sans Devanagari"/>
      <w:i/>
      <w:iCs/>
      <w:sz w:val="24"/>
      <w:szCs w:val="24"/>
    </w:rPr>
  </w:style>
  <w:style w:type="paragraph" w:styleId="Berschrift" w:customStyle="1">
    <w:name w:val="Überschrift"/>
    <w:basedOn w:val="Normal"/>
    <w:next w:val="BodyText"/>
    <w:qFormat/>
    <w:pPr>
      <w:keepNext w:val="true"/>
      <w:spacing w:before="240" w:after="120"/>
    </w:pPr>
    <w:rPr>
      <w:rFonts w:eastAsia="Lucida Sans Unicode" w:cs="Tahoma"/>
      <w:sz w:val="28"/>
      <w:szCs w:val="28"/>
    </w:rPr>
  </w:style>
  <w:style w:type="paragraph" w:styleId="Beschriftung2" w:customStyle="1">
    <w:name w:val="Beschriftung2"/>
    <w:basedOn w:val="Normal"/>
    <w:qFormat/>
    <w:pPr>
      <w:suppressLineNumbers/>
      <w:spacing w:before="120" w:after="120"/>
    </w:pPr>
    <w:rPr>
      <w:rFonts w:cs="Tahoma"/>
      <w:i/>
      <w:iCs/>
      <w:sz w:val="24"/>
      <w:szCs w:val="24"/>
    </w:rPr>
  </w:style>
  <w:style w:type="paragraph" w:styleId="Verzeichnis" w:customStyle="1">
    <w:name w:val="Verzeichnis"/>
    <w:basedOn w:val="Normal"/>
    <w:qFormat/>
    <w:pPr>
      <w:suppressLineNumbers/>
    </w:pPr>
    <w:rPr>
      <w:rFonts w:cs="Tahoma"/>
    </w:rPr>
  </w:style>
  <w:style w:type="paragraph" w:styleId="Beschriftung1" w:customStyle="1">
    <w:name w:val="Beschriftung1"/>
    <w:basedOn w:val="Normal"/>
    <w:qFormat/>
    <w:pPr>
      <w:suppressLineNumbers/>
      <w:spacing w:before="120" w:after="120"/>
    </w:pPr>
    <w:rPr>
      <w:rFonts w:cs="Tahoma"/>
      <w:i/>
      <w:iCs/>
      <w:sz w:val="24"/>
      <w:szCs w:val="24"/>
    </w:rPr>
  </w:style>
  <w:style w:type="paragraph" w:styleId="HeaderandFooter" w:customStyle="1">
    <w:name w:val="Header and Footer"/>
    <w:basedOn w:val="Normal"/>
    <w:qFormat/>
    <w:pPr/>
    <w:rPr/>
  </w:style>
  <w:style w:type="paragraph" w:styleId="Header">
    <w:name w:val="Header"/>
    <w:basedOn w:val="Normal"/>
    <w:pPr>
      <w:tabs>
        <w:tab w:val="clear" w:pos="708"/>
        <w:tab w:val="center" w:pos="4536" w:leader="none"/>
        <w:tab w:val="right" w:pos="9072" w:leader="none"/>
      </w:tabs>
    </w:pPr>
    <w:rPr/>
  </w:style>
  <w:style w:type="paragraph" w:styleId="Footer">
    <w:name w:val="Footer"/>
    <w:basedOn w:val="Normal"/>
    <w:pPr>
      <w:tabs>
        <w:tab w:val="clear" w:pos="708"/>
        <w:tab w:val="center" w:pos="4536" w:leader="none"/>
        <w:tab w:val="right" w:pos="9072" w:leader="none"/>
      </w:tabs>
    </w:pPr>
    <w:rPr/>
  </w:style>
  <w:style w:type="paragraph" w:styleId="Title">
    <w:name w:val="Title"/>
    <w:basedOn w:val="Normal"/>
    <w:next w:val="Subtitle"/>
    <w:qFormat/>
    <w:pPr>
      <w:jc w:val="center"/>
    </w:pPr>
    <w:rPr>
      <w:b/>
      <w:sz w:val="24"/>
    </w:rPr>
  </w:style>
  <w:style w:type="paragraph" w:styleId="Subtitle">
    <w:name w:val="Subtitle"/>
    <w:basedOn w:val="Berschrift"/>
    <w:next w:val="BodyText"/>
    <w:qFormat/>
    <w:pPr>
      <w:jc w:val="center"/>
    </w:pPr>
    <w:rPr>
      <w:i/>
      <w:iCs/>
    </w:rPr>
  </w:style>
  <w:style w:type="paragraph" w:styleId="BalloonText">
    <w:name w:val="Balloon Text"/>
    <w:basedOn w:val="Normal"/>
    <w:semiHidden/>
    <w:qFormat/>
    <w:rsid w:val="00fe29a1"/>
    <w:pPr/>
    <w:rPr>
      <w:rFonts w:ascii="Tahoma" w:hAnsi="Tahoma" w:cs="Tahoma"/>
      <w:sz w:val="16"/>
      <w:szCs w:val="16"/>
    </w:rPr>
  </w:style>
  <w:style w:type="paragraph" w:styleId="ListParagraph">
    <w:name w:val="List Paragraph"/>
    <w:basedOn w:val="Normal"/>
    <w:uiPriority w:val="34"/>
    <w:qFormat/>
    <w:rsid w:val="00a602da"/>
    <w:pPr>
      <w:spacing w:before="0" w:after="0"/>
      <w:ind w:left="720" w:hanging="0"/>
      <w:contextualSpacing/>
    </w:pPr>
    <w:rPr/>
  </w:style>
  <w:style w:type="paragraph" w:styleId="TableContents" w:customStyle="1">
    <w:name w:val="Table Contents"/>
    <w:basedOn w:val="Normal"/>
    <w:qFormat/>
    <w:pPr>
      <w:suppressLineNumbers/>
    </w:pPr>
    <w:rPr/>
  </w:style>
  <w:style w:type="paragraph" w:styleId="TableHeading" w:customStyle="1">
    <w:name w:val="Table Heading"/>
    <w:basedOn w:val="TableContents"/>
    <w:qFormat/>
    <w:pPr>
      <w:jc w:val="center"/>
    </w:pPr>
    <w:rPr>
      <w:b/>
      <w:bCs/>
    </w:rPr>
  </w:style>
  <w:style w:type="paragraph" w:styleId="NormalWeb">
    <w:name w:val="Normal (Web)"/>
    <w:basedOn w:val="Normal"/>
    <w:uiPriority w:val="99"/>
    <w:semiHidden/>
    <w:unhideWhenUsed/>
    <w:qFormat/>
    <w:rsid w:val="00273219"/>
    <w:pPr/>
    <w:rPr>
      <w:rFonts w:ascii="Times New Roman" w:hAnsi="Times New Roman"/>
      <w:sz w:val="24"/>
      <w:szCs w:val="24"/>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 w:type="table" w:styleId="Tabellenraster">
    <w:name w:val="Table Grid"/>
    <w:basedOn w:val="NormaleTabelle"/>
    <w:uiPriority w:val="59"/>
    <w:rsid w:val="00ed518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Application>Collabora_Office/22.05.15.2$Linux_X86_64 LibreOffice_project/a3908f47f58f0eeb1bb788f7501ee8d6bac11ae3</Application>
  <AppVersion>15.0000</AppVersion>
  <Pages>1</Pages>
  <Words>317</Words>
  <Characters>2015</Characters>
  <CharactersWithSpaces>2294</CharactersWithSpaces>
  <Paragraphs>39</Paragraphs>
  <Company>HS St.Georgen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2025-06-06T11:15:00Z</dcterms:created>
  <dc:creator>Heidrun Pierer</dc:creator>
  <dc:description/>
  <dc:language>de-DE</dc:language>
  <cp:lastModifiedBy/>
  <cp:lastPrinted>2022-06-28T10:32:00Z</cp:lastPrinted>
  <dcterms:modified xsi:type="dcterms:W3CDTF">2025-06-17T16:15:48Z</dcterms:modified>
  <cp:revision>12</cp:revision>
  <dc:subject>1. Klasse</dc:subject>
  <dc:title>Arbeitsmittel für das nächste Schuljahr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