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Tabellenraster"/>
        <w:tblW w:w="9924" w:type="dxa"/>
        <w:jc w:val="left"/>
        <w:tblInd w:w="0" w:type="dxa"/>
        <w:tblLayout w:type="fixed"/>
        <w:tblCellMar>
          <w:top w:w="0" w:type="dxa"/>
          <w:left w:w="108" w:type="dxa"/>
          <w:bottom w:w="0" w:type="dxa"/>
          <w:right w:w="108" w:type="dxa"/>
        </w:tblCellMar>
        <w:tblLook w:val="04a0" w:noVBand="1" w:noHBand="0" w:firstRow="1" w:lastRow="0" w:firstColumn="1" w:lastColumn="0"/>
      </w:tblPr>
      <w:tblGrid>
        <w:gridCol w:w="9924"/>
      </w:tblGrid>
      <w:tr>
        <w:trPr>
          <w:trHeight w:val="1020" w:hRule="atLeast"/>
        </w:trPr>
        <w:tc>
          <w:tcPr>
            <w:tcW w:w="9924" w:type="dxa"/>
            <w:tcBorders>
              <w:top w:val="nil"/>
              <w:left w:val="nil"/>
              <w:bottom w:val="nil"/>
              <w:right w:val="nil"/>
            </w:tcBorders>
            <w:vAlign w:val="center"/>
          </w:tcPr>
          <w:p>
            <w:pPr>
              <w:pStyle w:val="Header"/>
              <w:widowControl w:val="false"/>
              <w:tabs>
                <w:tab w:val="clear" w:pos="4536"/>
                <w:tab w:val="right" w:pos="9072" w:leader="none"/>
              </w:tabs>
              <w:suppressAutoHyphens w:val="true"/>
              <w:spacing w:before="0" w:after="120"/>
              <w:jc w:val="center"/>
              <w:rPr>
                <w:b/>
                <w:b/>
                <w:bCs/>
                <w:sz w:val="28"/>
                <w:szCs w:val="22"/>
              </w:rPr>
            </w:pPr>
            <w:r>
              <w:drawing>
                <wp:anchor behindDoc="0" distT="0" distB="0" distL="114300" distR="114300" simplePos="0" locked="0" layoutInCell="1" allowOverlap="1" relativeHeight="2">
                  <wp:simplePos x="0" y="0"/>
                  <wp:positionH relativeFrom="margin">
                    <wp:posOffset>5305425</wp:posOffset>
                  </wp:positionH>
                  <wp:positionV relativeFrom="margin">
                    <wp:posOffset>-16510</wp:posOffset>
                  </wp:positionV>
                  <wp:extent cx="1009650" cy="1009650"/>
                  <wp:effectExtent l="0" t="0" r="0" b="0"/>
                  <wp:wrapSquare wrapText="bothSides"/>
                  <wp:docPr id="1"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KI-generierte Inhalte können fehlerhaft sein."/>
                          <pic:cNvPicPr>
                            <a:picLocks noChangeAspect="1" noChangeArrowheads="1"/>
                          </pic:cNvPicPr>
                        </pic:nvPicPr>
                        <pic:blipFill>
                          <a:blip r:embed="rId2"/>
                          <a:stretch>
                            <a:fillRect/>
                          </a:stretch>
                        </pic:blipFill>
                        <pic:spPr bwMode="auto">
                          <a:xfrm>
                            <a:off x="0" y="0"/>
                            <a:ext cx="1009650" cy="1009650"/>
                          </a:xfrm>
                          <a:prstGeom prst="rect">
                            <a:avLst/>
                          </a:prstGeom>
                        </pic:spPr>
                      </pic:pic>
                    </a:graphicData>
                  </a:graphic>
                </wp:anchor>
              </w:drawing>
            </w:r>
            <w:r>
              <w:rPr>
                <w:rFonts w:eastAsia="Times New Roman" w:cs="Times New Roman"/>
                <w:b/>
                <w:bCs/>
                <w:kern w:val="0"/>
                <w:sz w:val="28"/>
                <w:szCs w:val="22"/>
                <w:lang w:bidi="ar-SA"/>
              </w:rPr>
              <w:t>Mittelschule St. Georgen/Stfg.</w:t>
            </w:r>
          </w:p>
          <w:p>
            <w:pPr>
              <w:pStyle w:val="Header"/>
              <w:widowControl w:val="false"/>
              <w:tabs>
                <w:tab w:val="clear" w:pos="4536"/>
                <w:tab w:val="right" w:pos="9072" w:leader="none"/>
              </w:tabs>
              <w:suppressAutoHyphens w:val="true"/>
              <w:spacing w:before="0" w:after="0"/>
              <w:jc w:val="center"/>
              <w:rPr>
                <w:sz w:val="22"/>
                <w:szCs w:val="22"/>
              </w:rPr>
            </w:pPr>
            <w:r>
              <w:rPr>
                <w:rFonts w:eastAsia="Times New Roman" w:cs="Times New Roman"/>
                <w:kern w:val="0"/>
                <w:sz w:val="22"/>
                <w:szCs w:val="22"/>
                <w:lang w:bidi="ar-SA"/>
              </w:rPr>
              <w:t>8413 St. Georgen/Stfg. 115</w:t>
            </w:r>
          </w:p>
          <w:p>
            <w:pPr>
              <w:pStyle w:val="Header"/>
              <w:widowControl w:val="false"/>
              <w:tabs>
                <w:tab w:val="clear" w:pos="4536"/>
                <w:tab w:val="right" w:pos="9072" w:leader="none"/>
              </w:tabs>
              <w:suppressAutoHyphens w:val="true"/>
              <w:spacing w:before="0" w:after="0"/>
              <w:jc w:val="center"/>
              <w:rPr>
                <w:sz w:val="22"/>
                <w:szCs w:val="22"/>
              </w:rPr>
            </w:pPr>
            <w:r>
              <w:rPr>
                <w:rFonts w:eastAsia="Times New Roman" w:cs="Times New Roman"/>
                <w:kern w:val="0"/>
                <w:sz w:val="22"/>
                <w:szCs w:val="22"/>
                <w:lang w:bidi="ar-SA"/>
              </w:rPr>
              <w:t>Tel.: 03183 7630</w:t>
            </w:r>
          </w:p>
        </w:tc>
      </w:tr>
    </w:tbl>
    <w:p>
      <w:pPr>
        <w:pStyle w:val="Normal"/>
        <w:rPr>
          <w:sz w:val="22"/>
          <w:szCs w:val="22"/>
        </w:rPr>
      </w:pPr>
      <w:r>
        <w:rPr>
          <w:sz w:val="22"/>
          <w:szCs w:val="22"/>
        </w:rPr>
      </w:r>
    </w:p>
    <w:p>
      <w:pPr>
        <w:pStyle w:val="Normal"/>
        <w:rPr>
          <w:sz w:val="16"/>
          <w:szCs w:val="24"/>
        </w:rPr>
      </w:pPr>
      <w:r>
        <w:rPr>
          <w:sz w:val="16"/>
          <w:szCs w:val="24"/>
        </w:rPr>
      </w:r>
    </w:p>
    <w:tbl>
      <w:tblPr>
        <w:tblStyle w:val="Tabellenraster"/>
        <w:tblW w:w="9914"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914"/>
      </w:tblGrid>
      <w:tr>
        <w:trPr>
          <w:trHeight w:val="454" w:hRule="atLeast"/>
        </w:trPr>
        <w:tc>
          <w:tcPr>
            <w:tcW w:w="9914" w:type="dxa"/>
            <w:tcBorders/>
            <w:shd w:color="auto" w:fill="DAEEF3" w:themeFill="accent5" w:themeFillTint="33" w:val="clear"/>
            <w:vAlign w:val="center"/>
          </w:tcPr>
          <w:p>
            <w:pPr>
              <w:pStyle w:val="Normal"/>
              <w:widowControl w:val="false"/>
              <w:suppressAutoHyphens w:val="true"/>
              <w:spacing w:before="0" w:after="0"/>
              <w:jc w:val="center"/>
              <w:rPr>
                <w:b/>
                <w:b/>
                <w:sz w:val="24"/>
              </w:rPr>
            </w:pPr>
            <w:r>
              <w:rPr>
                <w:rFonts w:eastAsia="Times New Roman" w:cs="Times New Roman"/>
                <w:b/>
                <w:kern w:val="0"/>
                <w:sz w:val="24"/>
                <w:szCs w:val="20"/>
                <w:lang w:bidi="ar-SA"/>
              </w:rPr>
              <w:t>1. Schultag: Montag, 08. September 2025, 7:50 Uhr bis 11:35 Uhr</w:t>
            </w:r>
          </w:p>
        </w:tc>
      </w:tr>
    </w:tbl>
    <w:p>
      <w:pPr>
        <w:pStyle w:val="Normal"/>
        <w:rPr>
          <w:sz w:val="16"/>
          <w:szCs w:val="24"/>
        </w:rPr>
      </w:pPr>
      <w:r>
        <w:rPr>
          <w:sz w:val="16"/>
          <w:szCs w:val="24"/>
        </w:rPr>
      </w:r>
    </w:p>
    <w:p>
      <w:pPr>
        <w:pStyle w:val="Normal"/>
        <w:rPr>
          <w:sz w:val="16"/>
          <w:szCs w:val="24"/>
        </w:rPr>
      </w:pPr>
      <w:r>
        <w:rPr>
          <w:sz w:val="16"/>
          <w:szCs w:val="24"/>
        </w:rPr>
      </w:r>
    </w:p>
    <w:p>
      <w:pPr>
        <w:pStyle w:val="Normal"/>
        <w:rPr>
          <w:sz w:val="22"/>
        </w:rPr>
      </w:pPr>
      <w:r>
        <w:rPr>
          <w:sz w:val="22"/>
        </w:rPr>
        <w:t>Um Ihnen den Schulbeginn zu erleichtern, möchten wir Ihnen folgende Informationen zukommen lassen:</w:t>
      </w:r>
    </w:p>
    <w:p>
      <w:pPr>
        <w:pStyle w:val="Normal"/>
        <w:rPr>
          <w:sz w:val="16"/>
          <w:szCs w:val="24"/>
        </w:rPr>
      </w:pPr>
      <w:r>
        <w:rPr>
          <w:sz w:val="16"/>
          <w:szCs w:val="24"/>
        </w:rPr>
      </w:r>
    </w:p>
    <w:p>
      <w:pPr>
        <w:pStyle w:val="Normal"/>
        <w:rPr>
          <w:sz w:val="22"/>
        </w:rPr>
      </w:pPr>
      <w:r>
        <w:rPr>
          <w:sz w:val="22"/>
        </w:rPr>
        <w:t xml:space="preserve">Ab dem heurigen Schuljahr erhält jeder Schüler und jede Schülerin einen Schulplaner. In Zusammenarbeit mit unseren Schülerinnen und Schülern wurde ein eigenes einheitliches Layout für unsere Schulhefte und den Planer gestaltet. Daher werden auch im kommenden Schuljahr alle Hefte zu Schulbeginn von uns bereitgestellt. Der Förderverein übernimmt einen Kostenbeitrag von 25 € für jedes Kind, der Restbetrag von </w:t>
      </w:r>
      <w:r>
        <w:rPr>
          <w:b/>
          <w:bCs/>
          <w:sz w:val="22"/>
        </w:rPr>
        <w:t>28 €</w:t>
      </w:r>
      <w:r>
        <w:rPr>
          <w:sz w:val="22"/>
        </w:rPr>
        <w:t xml:space="preserve"> ist gleich am </w:t>
      </w:r>
      <w:r>
        <w:rPr>
          <w:b/>
          <w:bCs/>
          <w:sz w:val="22"/>
        </w:rPr>
        <w:t xml:space="preserve">Schulanfang beim Klassenvorstand </w:t>
      </w:r>
      <w:r>
        <w:rPr>
          <w:sz w:val="22"/>
        </w:rPr>
        <w:t>zu bezahlen.</w:t>
      </w:r>
    </w:p>
    <w:p>
      <w:pPr>
        <w:pStyle w:val="Normal"/>
        <w:rPr>
          <w:sz w:val="22"/>
        </w:rPr>
      </w:pPr>
      <w:r>
        <w:rPr>
          <w:sz w:val="22"/>
        </w:rPr>
        <w:t>Wir verwenden bewusst Umschläge, um die Hefte zu schonen. Diese sollen dann im folgenden Jahr weiterverwendet werden.</w:t>
      </w:r>
    </w:p>
    <w:p>
      <w:pPr>
        <w:pStyle w:val="Normal"/>
        <w:rPr>
          <w:sz w:val="16"/>
          <w:szCs w:val="24"/>
        </w:rPr>
      </w:pPr>
      <w:r>
        <w:rPr>
          <w:sz w:val="16"/>
          <w:szCs w:val="24"/>
        </w:rPr>
      </w:r>
    </w:p>
    <w:p>
      <w:pPr>
        <w:pStyle w:val="Normal"/>
        <w:rPr>
          <w:sz w:val="22"/>
        </w:rPr>
      </w:pPr>
      <w:r>
        <w:rPr>
          <w:sz w:val="22"/>
        </w:rPr>
        <w:t xml:space="preserve">Falls noch nicht vorhanden, sind folgende </w:t>
      </w:r>
      <w:r>
        <w:rPr>
          <w:sz w:val="22"/>
          <w:u w:val="single"/>
        </w:rPr>
        <w:t>Arbeitsmittel</w:t>
      </w:r>
      <w:r>
        <w:rPr>
          <w:sz w:val="22"/>
        </w:rPr>
        <w:t xml:space="preserve"> zu besorgen:</w:t>
      </w:r>
    </w:p>
    <w:p>
      <w:pPr>
        <w:pStyle w:val="Normal"/>
        <w:rPr>
          <w:sz w:val="16"/>
          <w:szCs w:val="24"/>
        </w:rPr>
      </w:pPr>
      <w:r>
        <w:rPr>
          <w:sz w:val="16"/>
          <w:szCs w:val="24"/>
        </w:rPr>
      </w:r>
    </w:p>
    <w:tbl>
      <w:tblPr>
        <w:tblW w:w="9062" w:type="dxa"/>
        <w:jc w:val="left"/>
        <w:tblInd w:w="109" w:type="dxa"/>
        <w:tblLayout w:type="fixed"/>
        <w:tblCellMar>
          <w:top w:w="0" w:type="dxa"/>
          <w:left w:w="108" w:type="dxa"/>
          <w:bottom w:w="0" w:type="dxa"/>
          <w:right w:w="108" w:type="dxa"/>
        </w:tblCellMar>
        <w:tblLook w:val="0000" w:noVBand="0" w:noHBand="0" w:lastColumn="0" w:firstColumn="0" w:lastRow="0" w:firstRow="0"/>
      </w:tblPr>
      <w:tblGrid>
        <w:gridCol w:w="2734"/>
        <w:gridCol w:w="6327"/>
      </w:tblGrid>
      <w:tr>
        <w:trPr>
          <w:trHeight w:val="680" w:hRule="atLeast"/>
        </w:trPr>
        <w:tc>
          <w:tcPr>
            <w:tcW w:w="9061"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r>
          </w:p>
          <w:p>
            <w:pPr>
              <w:pStyle w:val="Normal"/>
              <w:widowControl w:val="false"/>
              <w:jc w:val="left"/>
              <w:rPr>
                <w:rFonts w:ascii="Times New Roman" w:hAnsi="Times New Roman"/>
                <w:sz w:val="24"/>
                <w:szCs w:val="24"/>
                <w:u w:val="single"/>
                <w:lang w:eastAsia="de-AT"/>
              </w:rPr>
            </w:pPr>
            <w:r>
              <w:rPr>
                <w:rFonts w:ascii="Times New Roman" w:hAnsi="Times New Roman"/>
                <w:sz w:val="24"/>
                <w:szCs w:val="24"/>
                <w:lang w:eastAsia="de-AT"/>
              </w:rPr>
              <w:t xml:space="preserve">Füllfeder, Tintenkiller, Bleistifte, Farbstifte, Radiergummi, Spitzer, </w:t>
            </w:r>
            <w:r>
              <w:rPr>
                <w:rFonts w:ascii="Times New Roman" w:hAnsi="Times New Roman"/>
                <w:b/>
                <w:sz w:val="24"/>
                <w:szCs w:val="24"/>
                <w:u w:val="single"/>
                <w:lang w:eastAsia="de-AT"/>
              </w:rPr>
              <w:t>Klebstoff</w:t>
            </w:r>
            <w:r>
              <w:rPr>
                <w:rFonts w:ascii="Times New Roman" w:hAnsi="Times New Roman"/>
                <w:sz w:val="24"/>
                <w:szCs w:val="24"/>
                <w:lang w:eastAsia="de-AT"/>
              </w:rPr>
              <w:t xml:space="preserve">, Schere, Zirkel, Lineal, 1 kleines und 1 großes Geodreieck, </w:t>
            </w:r>
            <w:r>
              <w:rPr>
                <w:rFonts w:ascii="Times New Roman" w:hAnsi="Times New Roman"/>
                <w:sz w:val="24"/>
                <w:szCs w:val="24"/>
                <w:u w:val="single"/>
                <w:lang w:eastAsia="de-AT"/>
              </w:rPr>
              <w:t xml:space="preserve">Kopfhörer </w:t>
            </w:r>
            <w:r>
              <w:rPr>
                <w:rFonts w:ascii="Times New Roman" w:hAnsi="Times New Roman"/>
                <w:sz w:val="24"/>
                <w:szCs w:val="24"/>
                <w:lang w:eastAsia="de-AT"/>
              </w:rPr>
              <w:t xml:space="preserve">(klein und günstig – sollen immer griffbereit sein), </w:t>
            </w:r>
            <w:r>
              <w:rPr>
                <w:rFonts w:ascii="Times New Roman" w:hAnsi="Times New Roman"/>
                <w:sz w:val="24"/>
                <w:szCs w:val="24"/>
                <w:u w:val="single"/>
                <w:lang w:eastAsia="de-AT"/>
              </w:rPr>
              <w:t>Hausschuhe</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Deutsch:</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3 Umschläge A4, orange, violett, grün</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Englisch:</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Schnellhefter und Ringmappe werden vom Vorjahr weiterverwendet, 20 Klarsichthüllen, 2 Umschläge transparent A4, 1 Umschlag transparent im Quartformat</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Mathematik:</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roter, 1 blauer, 1 gelber Umschlag (A4)</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Geografie:</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Umschlag A4 (Farbe frei wählbar)</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Geschichte:</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Umschlag (A4)</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Musik:</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 xml:space="preserve">Mappe vom Vorjahr weiterverwenden, </w:t>
            </w:r>
            <w:r>
              <w:rPr>
                <w:rFonts w:ascii="Times New Roman" w:hAnsi="Times New Roman"/>
                <w:b/>
                <w:bCs/>
                <w:sz w:val="24"/>
                <w:szCs w:val="24"/>
                <w:lang w:eastAsia="de-AT"/>
              </w:rPr>
              <w:t>alle Blätter drinnen lassen</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Berufsorientierung</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Mappe, aus der dritten Klasse weiterverwenden, alle Materialien drinnen lassen</w:t>
            </w:r>
          </w:p>
        </w:tc>
      </w:tr>
      <w:tr>
        <w:trPr>
          <w:trHeight w:val="397" w:hRule="atLeast"/>
        </w:trPr>
        <w:tc>
          <w:tcPr>
            <w:tcW w:w="2734" w:type="dxa"/>
            <w:tcBorders>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Kunst und Gestaltung</w:t>
            </w:r>
          </w:p>
        </w:tc>
        <w:tc>
          <w:tcPr>
            <w:tcW w:w="6327" w:type="dxa"/>
            <w:tcBorders>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Zeichenbox ist in der Schule ( Wasserfarben, Ölfarben, ...)</w:t>
              <w:br/>
              <w:t>1 – 2 schwarze Plakatschreiber, 1 Bleistift 6B, Farbstifte, Filzstifte, 1 schwarzer Fineliner</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Bewegung und Sport:</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Paar niedere Turnschuhe für die Halle (helle Sohle)</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Paar niedere Turnschuhe für den Unterricht im Freien</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Turnbekleidung, Handtuch,</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Schwimmsachen (für den Sommer)</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Digitale Grundbildung</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Schnellhefter weiterverwenden</w:t>
            </w:r>
          </w:p>
        </w:tc>
      </w:tr>
      <w:tr>
        <w:trPr>
          <w:trHeight w:val="397" w:hRule="atLeast"/>
        </w:trPr>
        <w:tc>
          <w:tcPr>
            <w:tcW w:w="27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Wahlpflichtfach NAWI</w:t>
            </w:r>
          </w:p>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Wahlpflichtfach Theater</w:t>
            </w:r>
          </w:p>
          <w:p>
            <w:pPr>
              <w:pStyle w:val="Normal"/>
              <w:widowControl w:val="false"/>
              <w:jc w:val="left"/>
              <w:rPr>
                <w:rFonts w:ascii="Times New Roman" w:hAnsi="Times New Roman"/>
                <w:i/>
                <w:i/>
                <w:sz w:val="24"/>
                <w:szCs w:val="24"/>
                <w:lang w:eastAsia="de-AT"/>
              </w:rPr>
            </w:pPr>
            <w:r>
              <w:rPr>
                <w:rFonts w:ascii="Times New Roman" w:hAnsi="Times New Roman"/>
                <w:i/>
                <w:sz w:val="24"/>
                <w:szCs w:val="24"/>
                <w:lang w:eastAsia="de-AT"/>
              </w:rPr>
              <w:t>Wahlpflichtfach EH</w:t>
            </w:r>
          </w:p>
        </w:tc>
        <w:tc>
          <w:tcPr>
            <w:tcW w:w="6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Schnellhefter mit 20 karierten Blättern</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Schnellhefter mit 10 linierten Blättern</w:t>
            </w:r>
          </w:p>
          <w:p>
            <w:pPr>
              <w:pStyle w:val="Normal"/>
              <w:widowControl w:val="false"/>
              <w:jc w:val="left"/>
              <w:rPr>
                <w:rFonts w:ascii="Times New Roman" w:hAnsi="Times New Roman"/>
                <w:sz w:val="24"/>
                <w:szCs w:val="24"/>
                <w:lang w:eastAsia="de-AT"/>
              </w:rPr>
            </w:pPr>
            <w:r>
              <w:rPr>
                <w:rFonts w:ascii="Times New Roman" w:hAnsi="Times New Roman"/>
                <w:sz w:val="24"/>
                <w:szCs w:val="24"/>
                <w:lang w:eastAsia="de-AT"/>
              </w:rPr>
              <w:t>1 Schnellhefter mit 10 lin. Blättern, Kochschürze, Haarband</w:t>
            </w:r>
          </w:p>
        </w:tc>
      </w:tr>
    </w:tbl>
    <w:p>
      <w:pPr>
        <w:pStyle w:val="Normal"/>
        <w:rPr>
          <w:sz w:val="16"/>
          <w:szCs w:val="24"/>
        </w:rPr>
      </w:pPr>
      <w:r>
        <w:rPr>
          <w:sz w:val="16"/>
          <w:szCs w:val="24"/>
        </w:rPr>
      </w:r>
    </w:p>
    <w:p>
      <w:pPr>
        <w:pStyle w:val="Normal"/>
        <w:spacing w:before="0" w:after="60"/>
        <w:jc w:val="center"/>
        <w:rPr>
          <w:sz w:val="22"/>
          <w:szCs w:val="24"/>
        </w:rPr>
      </w:pPr>
      <w:r>
        <w:rPr>
          <w:sz w:val="22"/>
          <w:szCs w:val="24"/>
        </w:rPr>
      </w:r>
    </w:p>
    <w:p>
      <w:pPr>
        <w:pStyle w:val="Normal"/>
        <w:spacing w:before="0" w:after="60"/>
        <w:jc w:val="center"/>
        <w:rPr>
          <w:sz w:val="22"/>
          <w:szCs w:val="24"/>
        </w:rPr>
      </w:pPr>
      <w:r>
        <w:rPr>
          <w:sz w:val="22"/>
          <w:szCs w:val="24"/>
        </w:rPr>
        <w:t>Mit freundlichen Grüßen</w:t>
      </w:r>
    </w:p>
    <w:p>
      <w:pPr>
        <w:pStyle w:val="Normal"/>
        <w:spacing w:lineRule="auto" w:line="276"/>
        <w:jc w:val="center"/>
        <w:rPr>
          <w:i/>
          <w:i/>
          <w:sz w:val="24"/>
          <w:szCs w:val="24"/>
        </w:rPr>
      </w:pPr>
      <w:r>
        <w:rPr>
          <w:i/>
          <w:sz w:val="24"/>
          <w:szCs w:val="24"/>
        </w:rPr>
        <w:t>das Lehrer*innen-Team der MS St. Georgen</w:t>
      </w:r>
    </w:p>
    <w:sectPr>
      <w:type w:val="nextPage"/>
      <w:pgSz w:w="11906" w:h="16838"/>
      <w:pgMar w:left="1134" w:right="848" w:gutter="0" w:header="0" w:top="709" w:footer="0" w:bottom="851"/>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Times New Roman">
    <w:charset w:val="01"/>
    <w:family w:val="roman"/>
    <w:pitch w:val="variable"/>
  </w:font>
  <w:font w:name="Arial">
    <w:charset w:val="01"/>
    <w:family w:val="roman"/>
    <w:pitch w:val="variable"/>
  </w:font>
  <w:font w:name="Tahoma">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de-A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AT" w:eastAsia="de-A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both"/>
    </w:pPr>
    <w:rPr>
      <w:rFonts w:ascii="Arial" w:hAnsi="Arial" w:eastAsia="Times New Roman" w:cs="Times New Roman"/>
      <w:color w:val="auto"/>
      <w:kern w:val="0"/>
      <w:sz w:val="20"/>
      <w:szCs w:val="20"/>
      <w:lang w:val="de-DE" w:eastAsia="ar-SA" w:bidi="ar-SA"/>
    </w:rPr>
  </w:style>
  <w:style w:type="paragraph" w:styleId="Heading1">
    <w:name w:val="Heading 1"/>
    <w:basedOn w:val="Normal"/>
    <w:next w:val="Normal"/>
    <w:qFormat/>
    <w:pPr>
      <w:keepNext w:val="true"/>
      <w:numPr>
        <w:ilvl w:val="0"/>
        <w:numId w:val="1"/>
      </w:numPr>
      <w:outlineLvl w:val="0"/>
    </w:pPr>
    <w:rPr>
      <w:b/>
      <w:sz w:val="28"/>
    </w:rPr>
  </w:style>
  <w:style w:type="paragraph" w:styleId="Heading2">
    <w:name w:val="Heading 2"/>
    <w:basedOn w:val="Normal"/>
    <w:next w:val="Normal"/>
    <w:qFormat/>
    <w:pPr>
      <w:keepNext w:val="true"/>
      <w:numPr>
        <w:ilvl w:val="1"/>
        <w:numId w:val="1"/>
      </w:numPr>
      <w:pBdr>
        <w:left w:val="single" w:sz="4" w:space="1" w:color="000000"/>
        <w:right w:val="single" w:sz="4" w:space="1" w:color="000000"/>
      </w:pBdr>
      <w:tabs>
        <w:tab w:val="clear" w:pos="708"/>
        <w:tab w:val="left" w:pos="2268" w:leader="none"/>
        <w:tab w:val="left" w:pos="7371" w:leader="none"/>
      </w:tabs>
      <w:outlineLvl w:val="1"/>
    </w:pPr>
    <w:rPr>
      <w:sz w:val="24"/>
    </w:rPr>
  </w:style>
  <w:style w:type="paragraph" w:styleId="Heading3">
    <w:name w:val="Heading 3"/>
    <w:basedOn w:val="Normal"/>
    <w:next w:val="Normal"/>
    <w:qFormat/>
    <w:pPr>
      <w:keepNext w:val="true"/>
      <w:numPr>
        <w:ilvl w:val="2"/>
        <w:numId w:val="1"/>
      </w:numPr>
      <w:tabs>
        <w:tab w:val="clear" w:pos="708"/>
        <w:tab w:val="left" w:pos="1701" w:leader="none"/>
      </w:tabs>
      <w:jc w:val="left"/>
      <w:outlineLvl w:val="2"/>
    </w:pPr>
    <w:rPr>
      <w:sz w:val="24"/>
    </w:rPr>
  </w:style>
  <w:style w:type="character" w:styleId="DefaultParagraphFont" w:default="1">
    <w:name w:val="Default Paragraph Font"/>
    <w:uiPriority w:val="1"/>
    <w:semiHidden/>
    <w:unhideWhenUsed/>
    <w:qFormat/>
    <w:rPr/>
  </w:style>
  <w:style w:type="character" w:styleId="AbsatzStandardschriftart2" w:customStyle="1">
    <w:name w:val="Absatz-Standardschriftart2"/>
    <w:qForma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AbsatzStandardschriftart1" w:customStyle="1">
    <w:name w:val="Absatz-Standardschriftart1"/>
    <w:qFormat/>
    <w:rPr/>
  </w:style>
  <w:style w:type="character" w:styleId="Pagenumber">
    <w:name w:val="page number"/>
    <w:qFormat/>
    <w:rPr>
      <w:rFonts w:ascii="Arial" w:hAnsi="Arial"/>
      <w:position w:val="0"/>
      <w:sz w:val="24"/>
      <w:sz w:val="24"/>
      <w:vertAlign w:val="baseline"/>
    </w:rPr>
  </w:style>
  <w:style w:type="paragraph" w:styleId="Heading" w:customStyle="1">
    <w:name w:val="Heading"/>
    <w:basedOn w:val="Normal"/>
    <w:next w:val="BodyText"/>
    <w:qFormat/>
    <w:pPr>
      <w:keepNext w:val="true"/>
      <w:spacing w:before="240" w:after="120"/>
    </w:pPr>
    <w:rPr>
      <w:rFonts w:ascii="Carlito" w:hAnsi="Carlito" w:eastAsia="Noto Sans SC Regular" w:cs="Noto Sans Devanagari"/>
      <w:sz w:val="28"/>
      <w:szCs w:val="28"/>
    </w:rPr>
  </w:style>
  <w:style w:type="paragraph" w:styleId="BodyText">
    <w:name w:val="Body Text"/>
    <w:basedOn w:val="Normal"/>
    <w:pPr>
      <w:spacing w:before="0" w:after="120"/>
    </w:pPr>
    <w:rPr/>
  </w:style>
  <w:style w:type="paragraph" w:styleId="List">
    <w:name w:val="List"/>
    <w:basedOn w:val="BodyText"/>
    <w:pPr/>
    <w:rPr>
      <w:rFonts w:cs="Tahoma"/>
    </w:rPr>
  </w:style>
  <w:style w:type="paragraph" w:styleId="Caption">
    <w:name w:val="Caption"/>
    <w:basedOn w:val="Normal"/>
    <w:qFormat/>
    <w:pPr>
      <w:suppressLineNumbers/>
      <w:spacing w:before="120" w:after="120"/>
    </w:pPr>
    <w:rPr>
      <w:rFonts w:cs="Noto Sans Devanagari"/>
      <w:i/>
      <w:iCs/>
      <w:sz w:val="24"/>
      <w:szCs w:val="24"/>
    </w:rPr>
  </w:style>
  <w:style w:type="paragraph" w:styleId="Index" w:customStyle="1">
    <w:name w:val="Index"/>
    <w:basedOn w:val="Normal"/>
    <w:qFormat/>
    <w:pPr>
      <w:suppressLineNumbers/>
    </w:pPr>
    <w:rPr>
      <w:rFonts w:cs="Noto Sans Devanagari"/>
    </w:rPr>
  </w:style>
  <w:style w:type="paragraph" w:styleId="Caption1">
    <w:name w:val="caption1"/>
    <w:basedOn w:val="Normal"/>
    <w:qFormat/>
    <w:pPr>
      <w:suppressLineNumbers/>
      <w:spacing w:before="120" w:after="120"/>
    </w:pPr>
    <w:rPr>
      <w:rFonts w:cs="Noto Sans Devanagari"/>
      <w:i/>
      <w:iCs/>
      <w:sz w:val="24"/>
      <w:szCs w:val="24"/>
    </w:rPr>
  </w:style>
  <w:style w:type="paragraph" w:styleId="Berschrift" w:customStyle="1">
    <w:name w:val="Überschrift"/>
    <w:basedOn w:val="Normal"/>
    <w:next w:val="BodyText"/>
    <w:qFormat/>
    <w:pPr>
      <w:keepNext w:val="true"/>
      <w:spacing w:before="240" w:after="120"/>
    </w:pPr>
    <w:rPr>
      <w:rFonts w:eastAsia="Lucida Sans Unicode" w:cs="Tahoma"/>
      <w:sz w:val="28"/>
      <w:szCs w:val="28"/>
    </w:rPr>
  </w:style>
  <w:style w:type="paragraph" w:styleId="Beschriftung2" w:customStyle="1">
    <w:name w:val="Beschriftung2"/>
    <w:basedOn w:val="Normal"/>
    <w:qFormat/>
    <w:pPr>
      <w:suppressLineNumbers/>
      <w:spacing w:before="120" w:after="120"/>
    </w:pPr>
    <w:rPr>
      <w:rFonts w:cs="Tahoma"/>
      <w:i/>
      <w:iCs/>
      <w:sz w:val="24"/>
      <w:szCs w:val="24"/>
    </w:rPr>
  </w:style>
  <w:style w:type="paragraph" w:styleId="Verzeichnis" w:customStyle="1">
    <w:name w:val="Verzeichnis"/>
    <w:basedOn w:val="Normal"/>
    <w:qFormat/>
    <w:pPr>
      <w:suppressLineNumbers/>
    </w:pPr>
    <w:rPr>
      <w:rFonts w:cs="Tahoma"/>
    </w:rPr>
  </w:style>
  <w:style w:type="paragraph" w:styleId="Beschriftung1" w:customStyle="1">
    <w:name w:val="Beschriftung1"/>
    <w:basedOn w:val="Normal"/>
    <w:qFormat/>
    <w:pPr>
      <w:suppressLineNumbers/>
      <w:spacing w:before="120" w:after="120"/>
    </w:pPr>
    <w:rPr>
      <w:rFonts w:cs="Tahoma"/>
      <w:i/>
      <w:iCs/>
      <w:sz w:val="24"/>
      <w:szCs w:val="24"/>
    </w:rPr>
  </w:style>
  <w:style w:type="paragraph" w:styleId="HeaderandFooter" w:customStyle="1">
    <w:name w:val="Header and Footer"/>
    <w:basedOn w:val="Normal"/>
    <w:qFormat/>
    <w:pPr/>
    <w:rPr/>
  </w:style>
  <w:style w:type="paragraph" w:styleId="Header">
    <w:name w:val="Header"/>
    <w:basedOn w:val="Normal"/>
    <w:pPr>
      <w:tabs>
        <w:tab w:val="clear" w:pos="708"/>
        <w:tab w:val="center" w:pos="4536" w:leader="none"/>
        <w:tab w:val="right" w:pos="9072" w:leader="none"/>
      </w:tabs>
    </w:pPr>
    <w:rPr/>
  </w:style>
  <w:style w:type="paragraph" w:styleId="Footer">
    <w:name w:val="Footer"/>
    <w:basedOn w:val="Normal"/>
    <w:pPr>
      <w:tabs>
        <w:tab w:val="clear" w:pos="708"/>
        <w:tab w:val="center" w:pos="4536" w:leader="none"/>
        <w:tab w:val="right" w:pos="9072" w:leader="none"/>
      </w:tabs>
    </w:pPr>
    <w:rPr/>
  </w:style>
  <w:style w:type="paragraph" w:styleId="Title">
    <w:name w:val="Title"/>
    <w:basedOn w:val="Normal"/>
    <w:next w:val="Subtitle"/>
    <w:qFormat/>
    <w:pPr>
      <w:jc w:val="center"/>
    </w:pPr>
    <w:rPr>
      <w:b/>
      <w:sz w:val="24"/>
    </w:rPr>
  </w:style>
  <w:style w:type="paragraph" w:styleId="Subtitle">
    <w:name w:val="Subtitle"/>
    <w:basedOn w:val="Berschrift"/>
    <w:next w:val="BodyText"/>
    <w:qFormat/>
    <w:pPr>
      <w:jc w:val="center"/>
    </w:pPr>
    <w:rPr>
      <w:i/>
      <w:iCs/>
    </w:rPr>
  </w:style>
  <w:style w:type="paragraph" w:styleId="BalloonText">
    <w:name w:val="Balloon Text"/>
    <w:basedOn w:val="Normal"/>
    <w:semiHidden/>
    <w:qFormat/>
    <w:rsid w:val="00fe29a1"/>
    <w:pPr/>
    <w:rPr>
      <w:rFonts w:ascii="Tahoma" w:hAnsi="Tahoma" w:cs="Tahoma"/>
      <w:sz w:val="16"/>
      <w:szCs w:val="16"/>
    </w:rPr>
  </w:style>
  <w:style w:type="paragraph" w:styleId="ListParagraph">
    <w:name w:val="List Paragraph"/>
    <w:basedOn w:val="Normal"/>
    <w:uiPriority w:val="34"/>
    <w:qFormat/>
    <w:rsid w:val="00a602da"/>
    <w:pPr>
      <w:spacing w:before="0" w:after="0"/>
      <w:ind w:left="720" w:hanging="0"/>
      <w:contextualSpacing/>
    </w:pPr>
    <w:rPr/>
  </w:style>
  <w:style w:type="paragraph" w:styleId="TableContents" w:customStyle="1">
    <w:name w:val="Table Contents"/>
    <w:basedOn w:val="Normal"/>
    <w:qFormat/>
    <w:pPr>
      <w:suppressLineNumbers/>
    </w:pPr>
    <w:rPr/>
  </w:style>
  <w:style w:type="paragraph" w:styleId="TableHeading" w:customStyle="1">
    <w:name w:val="Table Heading"/>
    <w:basedOn w:val="TableContents"/>
    <w:qFormat/>
    <w:pPr>
      <w:jc w:val="center"/>
    </w:pPr>
    <w:rPr>
      <w:b/>
      <w:bCs/>
    </w:rPr>
  </w:style>
  <w:style w:type="paragraph" w:styleId="NormalWeb">
    <w:name w:val="Normal (Web)"/>
    <w:basedOn w:val="Normal"/>
    <w:uiPriority w:val="99"/>
    <w:semiHidden/>
    <w:unhideWhenUsed/>
    <w:qFormat/>
    <w:rsid w:val="00273219"/>
    <w:pPr/>
    <w:rPr>
      <w:rFonts w:ascii="Times New Roman" w:hAnsi="Times New Roman"/>
      <w:sz w:val="24"/>
      <w:szCs w:val="24"/>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ed518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Application>Collabora_Office/22.05.15.2$Linux_X86_64 LibreOffice_project/a3908f47f58f0eeb1bb788f7501ee8d6bac11ae3</Application>
  <AppVersion>15.0000</AppVersion>
  <Pages>1</Pages>
  <Words>310</Words>
  <Characters>1994</Characters>
  <CharactersWithSpaces>2266</CharactersWithSpaces>
  <Paragraphs>40</Paragraphs>
  <Company>HS St.Georgen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2025-06-06T11:18:00Z</dcterms:created>
  <dc:creator>Heidrun Pierer</dc:creator>
  <dc:description/>
  <dc:language>de-DE</dc:language>
  <cp:lastModifiedBy/>
  <cp:lastPrinted>2022-06-28T10:32:00Z</cp:lastPrinted>
  <dcterms:modified xsi:type="dcterms:W3CDTF">2025-07-02T07:30:19Z</dcterms:modified>
  <cp:revision>12</cp:revision>
  <dc:subject>1. Klasse</dc:subject>
  <dc:title>Arbeitsmittel für das nächste Schuljahr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